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D61B2" w14:textId="77777777" w:rsidR="00F21D07" w:rsidRDefault="00042BBA" w:rsidP="00D941C8">
      <w:pPr>
        <w:rPr>
          <w:b/>
        </w:rPr>
      </w:pPr>
    </w:p>
    <w:p w14:paraId="1899B6FF" w14:textId="77777777" w:rsidR="00DE05FA" w:rsidRDefault="00042BBA" w:rsidP="00D941C8">
      <w:pPr>
        <w:rPr>
          <w:b/>
        </w:rPr>
      </w:pPr>
    </w:p>
    <w:p w14:paraId="5C0E0A22" w14:textId="77777777" w:rsidR="00E75840" w:rsidRDefault="00270274" w:rsidP="00D941C8">
      <w:pPr>
        <w:rPr>
          <w:b/>
        </w:rPr>
      </w:pPr>
      <w:r>
        <w:rPr>
          <w:b/>
        </w:rPr>
        <w:t xml:space="preserve">Report to the </w:t>
      </w:r>
      <w:r w:rsidRPr="00AF1378">
        <w:rPr>
          <w:b/>
        </w:rPr>
        <w:t>Cabinet</w:t>
      </w:r>
    </w:p>
    <w:p w14:paraId="21A7AEB8" w14:textId="77777777" w:rsidR="00EA09B5" w:rsidRPr="00EA09B5" w:rsidRDefault="00270274" w:rsidP="00D941C8">
      <w:r>
        <w:t>Meeting to be held on Thursday, 15 June 2017</w:t>
      </w:r>
    </w:p>
    <w:p w14:paraId="38E67FB1" w14:textId="77777777" w:rsidR="00EA09B5" w:rsidRDefault="00042BBA" w:rsidP="00D941C8">
      <w:pPr>
        <w:rPr>
          <w:b/>
        </w:rPr>
      </w:pPr>
    </w:p>
    <w:p w14:paraId="7DBD81A3" w14:textId="77777777" w:rsidR="00E75840" w:rsidRDefault="00270274">
      <w:pPr>
        <w:rPr>
          <w:b/>
        </w:rPr>
      </w:pPr>
      <w:r>
        <w:rPr>
          <w:b/>
        </w:rPr>
        <w:t>Report of the Head of Fostering, Adoption, Residential &amp; YOT</w:t>
      </w:r>
    </w:p>
    <w:p w14:paraId="6A235056" w14:textId="77777777" w:rsidR="00E75840" w:rsidRDefault="00042BBA">
      <w:pPr>
        <w:rPr>
          <w:b/>
        </w:rPr>
      </w:pPr>
    </w:p>
    <w:tbl>
      <w:tblPr>
        <w:tblW w:w="3260" w:type="dxa"/>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075097" w14:paraId="5E1066FD" w14:textId="77777777" w:rsidTr="00EA09B5">
        <w:tc>
          <w:tcPr>
            <w:tcW w:w="3260" w:type="dxa"/>
            <w:tcBorders>
              <w:top w:val="single" w:sz="4" w:space="0" w:color="auto"/>
              <w:left w:val="single" w:sz="4" w:space="0" w:color="auto"/>
              <w:bottom w:val="single" w:sz="4" w:space="0" w:color="auto"/>
              <w:right w:val="single" w:sz="4" w:space="0" w:color="auto"/>
            </w:tcBorders>
          </w:tcPr>
          <w:p w14:paraId="67CDD279" w14:textId="0B98DF24" w:rsidR="00FC0274" w:rsidRPr="00FC0274" w:rsidRDefault="00270274" w:rsidP="00AF1378">
            <w:pPr>
              <w:pStyle w:val="BodyText"/>
              <w:rPr>
                <w:b/>
                <w:sz w:val="28"/>
                <w:szCs w:val="28"/>
              </w:rPr>
            </w:pPr>
            <w:r w:rsidRPr="00FC0274">
              <w:rPr>
                <w:b/>
                <w:sz w:val="28"/>
                <w:szCs w:val="28"/>
              </w:rPr>
              <w:t xml:space="preserve">Part </w:t>
            </w:r>
            <w:r w:rsidR="00042BBA">
              <w:rPr>
                <w:b/>
                <w:sz w:val="28"/>
                <w:szCs w:val="28"/>
              </w:rPr>
              <w:t>I</w:t>
            </w:r>
          </w:p>
        </w:tc>
      </w:tr>
      <w:tr w:rsidR="00075097" w14:paraId="1730339D" w14:textId="77777777" w:rsidTr="00EA09B5">
        <w:tc>
          <w:tcPr>
            <w:tcW w:w="3260" w:type="dxa"/>
            <w:tcBorders>
              <w:top w:val="single" w:sz="4" w:space="0" w:color="auto"/>
              <w:left w:val="nil"/>
              <w:bottom w:val="single" w:sz="4" w:space="0" w:color="auto"/>
              <w:right w:val="nil"/>
            </w:tcBorders>
          </w:tcPr>
          <w:p w14:paraId="364BDB7E" w14:textId="77777777" w:rsidR="00FC0274" w:rsidRPr="00FC0274" w:rsidRDefault="00042BBA" w:rsidP="00FC0274">
            <w:pPr>
              <w:pStyle w:val="BodyText"/>
            </w:pPr>
          </w:p>
        </w:tc>
      </w:tr>
      <w:tr w:rsidR="00075097" w14:paraId="6B4C2A6A" w14:textId="77777777" w:rsidTr="00EA09B5">
        <w:tc>
          <w:tcPr>
            <w:tcW w:w="3260" w:type="dxa"/>
            <w:tcBorders>
              <w:top w:val="single" w:sz="4" w:space="0" w:color="auto"/>
            </w:tcBorders>
          </w:tcPr>
          <w:p w14:paraId="2F38C269" w14:textId="77777777" w:rsidR="00E75840" w:rsidRDefault="00270274">
            <w:pPr>
              <w:pStyle w:val="BodyText"/>
            </w:pPr>
            <w:r>
              <w:t>Electoral Divisions affected:</w:t>
            </w:r>
          </w:p>
          <w:p w14:paraId="2F870EB6" w14:textId="77777777" w:rsidR="00E75840" w:rsidRDefault="00270274">
            <w:pPr>
              <w:rPr>
                <w:u w:val="single"/>
              </w:rPr>
            </w:pPr>
            <w:r>
              <w:t>All</w:t>
            </w:r>
          </w:p>
        </w:tc>
      </w:tr>
    </w:tbl>
    <w:p w14:paraId="64041D97" w14:textId="77777777" w:rsidR="00E75840" w:rsidRDefault="00042BBA">
      <w:pPr>
        <w:ind w:left="709" w:hanging="709"/>
        <w:rPr>
          <w:b/>
        </w:rPr>
      </w:pPr>
    </w:p>
    <w:p w14:paraId="0CF01814" w14:textId="77777777" w:rsidR="00E75840" w:rsidRDefault="00270274">
      <w:pPr>
        <w:rPr>
          <w:b/>
        </w:rPr>
      </w:pPr>
      <w:r>
        <w:rPr>
          <w:b/>
        </w:rPr>
        <w:t>Residential Strategy</w:t>
      </w:r>
    </w:p>
    <w:p w14:paraId="71D87228" w14:textId="77777777" w:rsidR="00EA09B5" w:rsidRDefault="00270274" w:rsidP="00EA09B5">
      <w:pPr>
        <w:ind w:left="709" w:hanging="709"/>
      </w:pPr>
      <w:r>
        <w:t>(Appendices 'A' and 'B' refer)</w:t>
      </w:r>
    </w:p>
    <w:p w14:paraId="17A05FE5" w14:textId="77777777" w:rsidR="00EA09B5" w:rsidRDefault="00042BBA">
      <w:pPr>
        <w:rPr>
          <w:b/>
        </w:rPr>
      </w:pPr>
    </w:p>
    <w:p w14:paraId="2A2F993D" w14:textId="77777777" w:rsidR="00E75840" w:rsidRDefault="00270274">
      <w:r>
        <w:t>Contact for further information:</w:t>
      </w:r>
    </w:p>
    <w:p w14:paraId="7F167ED7" w14:textId="77777777" w:rsidR="00AF1378" w:rsidRDefault="00270274" w:rsidP="004F35B6">
      <w:r>
        <w:t xml:space="preserve">Barbara Bath, (01772) 535974, Head of </w:t>
      </w:r>
      <w:r w:rsidRPr="00AF1378">
        <w:t>Fostering, Adoption, Residential &amp; YOT</w:t>
      </w:r>
      <w:r>
        <w:t>, Directorate for Children's Services</w:t>
      </w:r>
    </w:p>
    <w:p w14:paraId="1D0CFB77" w14:textId="77777777" w:rsidR="00E75840" w:rsidRDefault="00042BBA" w:rsidP="00AF1378">
      <w:pPr>
        <w:ind w:left="709" w:hanging="709"/>
      </w:pPr>
      <w:hyperlink r:id="rId7" w:history="1">
        <w:r w:rsidR="00270274" w:rsidRPr="00481E62">
          <w:rPr>
            <w:rStyle w:val="Hyperlink"/>
          </w:rPr>
          <w:t>barbara.bath@lancashire.gov.uk</w:t>
        </w:r>
      </w:hyperlink>
    </w:p>
    <w:p w14:paraId="1617B35D" w14:textId="77777777" w:rsidR="00AF1378" w:rsidRDefault="00042BBA" w:rsidP="00AF1378">
      <w:pPr>
        <w:ind w:left="709" w:hanging="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75097" w14:paraId="35166E2D" w14:textId="77777777">
        <w:tc>
          <w:tcPr>
            <w:tcW w:w="9180" w:type="dxa"/>
          </w:tcPr>
          <w:p w14:paraId="2648B3EE" w14:textId="77777777" w:rsidR="00E75840" w:rsidRDefault="00042BBA">
            <w:pPr>
              <w:pStyle w:val="Heading6"/>
              <w:rPr>
                <w:rFonts w:ascii="Arial" w:hAnsi="Arial"/>
              </w:rPr>
            </w:pPr>
          </w:p>
          <w:p w14:paraId="4E2B6D54" w14:textId="77777777" w:rsidR="00E75840" w:rsidRDefault="00270274" w:rsidP="00EA09B5">
            <w:pPr>
              <w:pStyle w:val="Heading6"/>
              <w:jc w:val="both"/>
              <w:rPr>
                <w:rFonts w:ascii="Arial" w:hAnsi="Arial"/>
              </w:rPr>
            </w:pPr>
            <w:r>
              <w:rPr>
                <w:rFonts w:ascii="Arial" w:hAnsi="Arial"/>
              </w:rPr>
              <w:t>Executive Summary</w:t>
            </w:r>
          </w:p>
          <w:p w14:paraId="730E0E5F" w14:textId="77777777" w:rsidR="00EA09B5" w:rsidRPr="00EA09B5" w:rsidRDefault="00042BBA" w:rsidP="00EA09B5">
            <w:pPr>
              <w:jc w:val="both"/>
            </w:pPr>
          </w:p>
          <w:p w14:paraId="7D4A5110" w14:textId="77777777" w:rsidR="00691CD9" w:rsidRDefault="00270274" w:rsidP="00EA09B5">
            <w:pPr>
              <w:jc w:val="both"/>
            </w:pPr>
            <w:r>
              <w:t>This Children Looked After (CLA) Residential Strategy, set out at Appendix B, seeks to build on and drive forward the actions relating to residential care identified in Lancashire's CLA Sufficiency and Commissioning Effective Placements Strategy (2014-2017). Specifically it seeks to:</w:t>
            </w:r>
          </w:p>
          <w:p w14:paraId="2714CB13" w14:textId="77777777" w:rsidR="00691CD9" w:rsidRDefault="00042BBA" w:rsidP="00EA09B5">
            <w:pPr>
              <w:jc w:val="both"/>
            </w:pPr>
          </w:p>
          <w:p w14:paraId="63BF5FE8" w14:textId="77777777" w:rsidR="00691CD9" w:rsidRDefault="00270274" w:rsidP="00EA09B5">
            <w:pPr>
              <w:numPr>
                <w:ilvl w:val="0"/>
                <w:numId w:val="3"/>
              </w:numPr>
              <w:ind w:left="709" w:hanging="283"/>
              <w:jc w:val="both"/>
            </w:pPr>
            <w:r>
              <w:t>Reduce numbers of CLA in residential placements</w:t>
            </w:r>
          </w:p>
          <w:p w14:paraId="3FCF367A" w14:textId="77777777" w:rsidR="00691CD9" w:rsidRDefault="00270274" w:rsidP="00EA09B5">
            <w:pPr>
              <w:numPr>
                <w:ilvl w:val="0"/>
                <w:numId w:val="3"/>
              </w:numPr>
              <w:ind w:left="709" w:hanging="283"/>
              <w:jc w:val="both"/>
            </w:pPr>
            <w:r>
              <w:t>Ensure that appropriate placements are available to best meet the needs of our CLA</w:t>
            </w:r>
          </w:p>
          <w:p w14:paraId="0B69AF14" w14:textId="77777777" w:rsidR="00691CD9" w:rsidRDefault="00270274" w:rsidP="00EA09B5">
            <w:pPr>
              <w:numPr>
                <w:ilvl w:val="0"/>
                <w:numId w:val="3"/>
              </w:numPr>
              <w:ind w:left="709" w:hanging="283"/>
              <w:jc w:val="both"/>
            </w:pPr>
            <w:r>
              <w:t>Ensure that best use is made of available resources and best value for money is achieved</w:t>
            </w:r>
          </w:p>
          <w:p w14:paraId="706E540D" w14:textId="77777777" w:rsidR="00691CD9" w:rsidRDefault="00042BBA" w:rsidP="00EA09B5">
            <w:pPr>
              <w:jc w:val="both"/>
            </w:pPr>
          </w:p>
          <w:p w14:paraId="539B62FE" w14:textId="77777777" w:rsidR="00E75840" w:rsidRDefault="00270274" w:rsidP="00EA09B5">
            <w:pPr>
              <w:jc w:val="both"/>
            </w:pPr>
            <w:r>
              <w:t>This strategy is one part of a wider demand management strategy, which has three elements: Prevention; Purposeful Practice; and Permanence.</w:t>
            </w:r>
          </w:p>
          <w:p w14:paraId="0B319640" w14:textId="77777777" w:rsidR="002A6EE2" w:rsidRDefault="00042BBA" w:rsidP="00EA09B5">
            <w:pPr>
              <w:jc w:val="both"/>
            </w:pPr>
          </w:p>
          <w:p w14:paraId="085DBEEA" w14:textId="77777777" w:rsidR="00EA09B5" w:rsidRDefault="00270274" w:rsidP="00EA09B5">
            <w:pPr>
              <w:jc w:val="both"/>
            </w:pPr>
            <w:r>
              <w:t>This is deemed to be a Key Decision and the provisions of Standing Order No. 25 have been complied with.</w:t>
            </w:r>
          </w:p>
          <w:p w14:paraId="0F71CA30" w14:textId="77777777" w:rsidR="00EA09B5" w:rsidRPr="005B6C0E" w:rsidRDefault="00042BBA" w:rsidP="00EA09B5">
            <w:pPr>
              <w:jc w:val="both"/>
            </w:pPr>
          </w:p>
          <w:p w14:paraId="1B66493D" w14:textId="77777777" w:rsidR="00E75840" w:rsidRDefault="00270274" w:rsidP="00EA09B5">
            <w:pPr>
              <w:pStyle w:val="Heading5"/>
              <w:jc w:val="both"/>
              <w:rPr>
                <w:rFonts w:ascii="Arial" w:hAnsi="Arial"/>
                <w:u w:val="none"/>
              </w:rPr>
            </w:pPr>
            <w:r>
              <w:rPr>
                <w:rFonts w:ascii="Arial" w:hAnsi="Arial"/>
                <w:u w:val="none"/>
              </w:rPr>
              <w:t>Recommendation</w:t>
            </w:r>
          </w:p>
          <w:p w14:paraId="3E146CAC" w14:textId="77777777" w:rsidR="00EA09B5" w:rsidRPr="00EA09B5" w:rsidRDefault="00042BBA" w:rsidP="00EA09B5">
            <w:pPr>
              <w:jc w:val="both"/>
            </w:pPr>
          </w:p>
          <w:p w14:paraId="3099CF36" w14:textId="77777777" w:rsidR="00A71C1B" w:rsidRPr="00A71C1B" w:rsidRDefault="00270274" w:rsidP="00EA09B5">
            <w:pPr>
              <w:jc w:val="both"/>
            </w:pPr>
            <w:r>
              <w:t>The Cabinet is asked to note and agree the strategy as set out at Appendix B.</w:t>
            </w:r>
          </w:p>
          <w:p w14:paraId="17AF2476" w14:textId="77777777" w:rsidR="00E75840" w:rsidRDefault="00042BBA" w:rsidP="00455945"/>
        </w:tc>
      </w:tr>
    </w:tbl>
    <w:p w14:paraId="388D8DBD" w14:textId="77777777" w:rsidR="00EA09B5" w:rsidRDefault="00042BBA">
      <w:pPr>
        <w:rPr>
          <w:b/>
        </w:rPr>
      </w:pPr>
    </w:p>
    <w:p w14:paraId="298359E3" w14:textId="77777777" w:rsidR="00E75840" w:rsidRDefault="00042BBA">
      <w:pPr>
        <w:rPr>
          <w:b/>
        </w:rPr>
      </w:pPr>
    </w:p>
    <w:p w14:paraId="2F1C2538" w14:textId="77777777" w:rsidR="00E75840" w:rsidRDefault="00270274">
      <w:pPr>
        <w:rPr>
          <w:b/>
        </w:rPr>
      </w:pPr>
      <w:r>
        <w:rPr>
          <w:b/>
        </w:rPr>
        <w:t xml:space="preserve">Background and Advice </w:t>
      </w:r>
    </w:p>
    <w:p w14:paraId="65CCA152" w14:textId="77777777" w:rsidR="00EA09B5" w:rsidRDefault="00042BBA">
      <w:pPr>
        <w:rPr>
          <w:b/>
        </w:rPr>
      </w:pPr>
    </w:p>
    <w:p w14:paraId="7655A7AB" w14:textId="1DFF3141" w:rsidR="000B6AB8" w:rsidRPr="000B6AB8" w:rsidRDefault="00270274" w:rsidP="000B6AB8">
      <w:pPr>
        <w:autoSpaceDE w:val="0"/>
        <w:autoSpaceDN w:val="0"/>
        <w:adjustRightInd w:val="0"/>
        <w:jc w:val="both"/>
        <w:rPr>
          <w:rFonts w:eastAsia="Calibri" w:cs="Arial"/>
          <w:color w:val="000000"/>
          <w:szCs w:val="24"/>
          <w:lang w:eastAsia="en-US"/>
        </w:rPr>
      </w:pPr>
      <w:r w:rsidRPr="000B6AB8">
        <w:rPr>
          <w:rFonts w:eastAsia="Calibri" w:cs="Arial"/>
          <w:color w:val="000000"/>
          <w:szCs w:val="24"/>
          <w:lang w:eastAsia="en-US"/>
        </w:rPr>
        <w:t>L</w:t>
      </w:r>
      <w:r>
        <w:rPr>
          <w:rFonts w:eastAsia="Calibri" w:cs="Arial"/>
          <w:color w:val="000000"/>
          <w:szCs w:val="24"/>
          <w:lang w:eastAsia="en-US"/>
        </w:rPr>
        <w:t xml:space="preserve">ancashire </w:t>
      </w:r>
      <w:r w:rsidRPr="000B6AB8">
        <w:rPr>
          <w:rFonts w:eastAsia="Calibri" w:cs="Arial"/>
          <w:color w:val="000000"/>
          <w:szCs w:val="24"/>
          <w:lang w:eastAsia="en-US"/>
        </w:rPr>
        <w:t>C</w:t>
      </w:r>
      <w:r>
        <w:rPr>
          <w:rFonts w:eastAsia="Calibri" w:cs="Arial"/>
          <w:color w:val="000000"/>
          <w:szCs w:val="24"/>
          <w:lang w:eastAsia="en-US"/>
        </w:rPr>
        <w:t xml:space="preserve">ounty </w:t>
      </w:r>
      <w:r w:rsidRPr="000B6AB8">
        <w:rPr>
          <w:rFonts w:eastAsia="Calibri" w:cs="Arial"/>
          <w:color w:val="000000"/>
          <w:szCs w:val="24"/>
          <w:lang w:eastAsia="en-US"/>
        </w:rPr>
        <w:t>C</w:t>
      </w:r>
      <w:r>
        <w:rPr>
          <w:rFonts w:eastAsia="Calibri" w:cs="Arial"/>
          <w:color w:val="000000"/>
          <w:szCs w:val="24"/>
          <w:lang w:eastAsia="en-US"/>
        </w:rPr>
        <w:t>ouncil</w:t>
      </w:r>
      <w:r w:rsidRPr="000B6AB8">
        <w:rPr>
          <w:rFonts w:eastAsia="Calibri" w:cs="Arial"/>
          <w:color w:val="000000"/>
          <w:szCs w:val="24"/>
          <w:lang w:eastAsia="en-US"/>
        </w:rPr>
        <w:t xml:space="preserve">'s </w:t>
      </w:r>
      <w:r>
        <w:rPr>
          <w:rFonts w:eastAsia="Calibri" w:cs="Arial"/>
          <w:color w:val="000000"/>
          <w:szCs w:val="24"/>
          <w:lang w:eastAsia="en-US"/>
        </w:rPr>
        <w:t xml:space="preserve">(LCC) </w:t>
      </w:r>
      <w:r w:rsidRPr="000B6AB8">
        <w:rPr>
          <w:rFonts w:eastAsia="Calibri" w:cs="Arial"/>
          <w:color w:val="000000"/>
          <w:szCs w:val="24"/>
          <w:lang w:eastAsia="en-US"/>
        </w:rPr>
        <w:t xml:space="preserve">current children's home provision is based on a previous strategy of the Local Authority providing accommodation for mainstream </w:t>
      </w:r>
      <w:r>
        <w:rPr>
          <w:rFonts w:eastAsia="Calibri" w:cs="Arial"/>
          <w:color w:val="000000"/>
          <w:szCs w:val="24"/>
          <w:lang w:eastAsia="en-US"/>
        </w:rPr>
        <w:lastRenderedPageBreak/>
        <w:t xml:space="preserve">children and young people </w:t>
      </w:r>
      <w:r w:rsidRPr="000B6AB8">
        <w:rPr>
          <w:rFonts w:eastAsia="Calibri" w:cs="Arial"/>
          <w:color w:val="000000"/>
          <w:szCs w:val="24"/>
          <w:lang w:eastAsia="en-US"/>
        </w:rPr>
        <w:t xml:space="preserve">(in 10 large six bed homes) and agency providers accommodating </w:t>
      </w:r>
      <w:r w:rsidR="00042BBA">
        <w:rPr>
          <w:rFonts w:eastAsia="Calibri" w:cs="Arial"/>
          <w:color w:val="000000"/>
          <w:szCs w:val="24"/>
          <w:lang w:eastAsia="en-US"/>
        </w:rPr>
        <w:t>young people with more complex needs</w:t>
      </w:r>
      <w:r w:rsidRPr="000B6AB8">
        <w:rPr>
          <w:rFonts w:eastAsia="Calibri" w:cs="Arial"/>
          <w:color w:val="000000"/>
          <w:szCs w:val="24"/>
          <w:lang w:eastAsia="en-US"/>
        </w:rPr>
        <w:t xml:space="preserve">. </w:t>
      </w:r>
    </w:p>
    <w:p w14:paraId="4F0E4601" w14:textId="77777777" w:rsidR="000B6AB8" w:rsidRPr="000B6AB8" w:rsidRDefault="00042BBA" w:rsidP="000B6AB8">
      <w:pPr>
        <w:autoSpaceDE w:val="0"/>
        <w:autoSpaceDN w:val="0"/>
        <w:adjustRightInd w:val="0"/>
        <w:jc w:val="both"/>
        <w:rPr>
          <w:rFonts w:eastAsia="Calibri" w:cs="Arial"/>
          <w:color w:val="000000"/>
          <w:sz w:val="16"/>
          <w:szCs w:val="16"/>
          <w:lang w:eastAsia="en-US"/>
        </w:rPr>
      </w:pPr>
    </w:p>
    <w:p w14:paraId="71A06A01" w14:textId="62115D8F" w:rsidR="000B6AB8" w:rsidRPr="000B6AB8" w:rsidRDefault="00270274" w:rsidP="000B6AB8">
      <w:pPr>
        <w:autoSpaceDE w:val="0"/>
        <w:autoSpaceDN w:val="0"/>
        <w:adjustRightInd w:val="0"/>
        <w:jc w:val="both"/>
        <w:rPr>
          <w:rFonts w:eastAsia="Calibri" w:cs="Arial"/>
          <w:color w:val="000000"/>
          <w:szCs w:val="24"/>
          <w:lang w:eastAsia="en-US"/>
        </w:rPr>
      </w:pPr>
      <w:r w:rsidRPr="000B6AB8">
        <w:rPr>
          <w:rFonts w:eastAsia="Calibri" w:cs="Arial"/>
          <w:color w:val="000000"/>
          <w:szCs w:val="24"/>
          <w:lang w:eastAsia="en-US"/>
        </w:rPr>
        <w:t>Significant changes ha</w:t>
      </w:r>
      <w:r>
        <w:rPr>
          <w:rFonts w:eastAsia="Calibri" w:cs="Arial"/>
          <w:color w:val="000000"/>
          <w:szCs w:val="24"/>
          <w:lang w:eastAsia="en-US"/>
        </w:rPr>
        <w:t>ve</w:t>
      </w:r>
      <w:r w:rsidRPr="000B6AB8">
        <w:rPr>
          <w:rFonts w:eastAsia="Calibri" w:cs="Arial"/>
          <w:color w:val="000000"/>
          <w:szCs w:val="24"/>
          <w:lang w:eastAsia="en-US"/>
        </w:rPr>
        <w:t xml:space="preserve"> resulted in the need to rethink this strategy, including:</w:t>
      </w:r>
    </w:p>
    <w:p w14:paraId="320F99CE" w14:textId="0F572A51" w:rsidR="000B6AB8" w:rsidRPr="000B6AB8" w:rsidRDefault="00270274" w:rsidP="000B6AB8">
      <w:pPr>
        <w:numPr>
          <w:ilvl w:val="0"/>
          <w:numId w:val="4"/>
        </w:numPr>
        <w:autoSpaceDE w:val="0"/>
        <w:autoSpaceDN w:val="0"/>
        <w:adjustRightInd w:val="0"/>
        <w:spacing w:after="120" w:line="259" w:lineRule="auto"/>
        <w:contextualSpacing/>
        <w:jc w:val="both"/>
        <w:rPr>
          <w:rFonts w:eastAsia="Calibri" w:cs="Arial"/>
          <w:color w:val="000000"/>
          <w:szCs w:val="24"/>
          <w:lang w:eastAsia="en-US"/>
        </w:rPr>
      </w:pPr>
      <w:r>
        <w:rPr>
          <w:rFonts w:eastAsia="Calibri" w:cs="Arial"/>
          <w:color w:val="000000"/>
          <w:szCs w:val="24"/>
          <w:lang w:eastAsia="en-US"/>
        </w:rPr>
        <w:t>T</w:t>
      </w:r>
      <w:r w:rsidRPr="000B6AB8">
        <w:rPr>
          <w:rFonts w:eastAsia="Calibri" w:cs="Arial"/>
          <w:color w:val="000000"/>
          <w:szCs w:val="24"/>
          <w:lang w:eastAsia="en-US"/>
        </w:rPr>
        <w:t xml:space="preserve">he new Ofsted children's home inspection regime and providers becoming more risk averse </w:t>
      </w:r>
      <w:r>
        <w:rPr>
          <w:rFonts w:eastAsia="Calibri" w:cs="Arial"/>
          <w:color w:val="000000"/>
          <w:szCs w:val="24"/>
          <w:lang w:eastAsia="en-US"/>
        </w:rPr>
        <w:t>and reluctant to take</w:t>
      </w:r>
      <w:r w:rsidRPr="000B6AB8">
        <w:rPr>
          <w:rFonts w:eastAsia="Calibri" w:cs="Arial"/>
          <w:color w:val="000000"/>
          <w:szCs w:val="24"/>
          <w:lang w:eastAsia="en-US"/>
        </w:rPr>
        <w:t xml:space="preserve"> very complex cases</w:t>
      </w:r>
      <w:r>
        <w:rPr>
          <w:rFonts w:eastAsia="Calibri" w:cs="Arial"/>
          <w:color w:val="000000"/>
          <w:szCs w:val="24"/>
          <w:lang w:eastAsia="en-US"/>
        </w:rPr>
        <w:t>,</w:t>
      </w:r>
      <w:r w:rsidRPr="000B6AB8">
        <w:rPr>
          <w:rFonts w:eastAsia="Calibri" w:cs="Arial"/>
          <w:color w:val="000000"/>
          <w:szCs w:val="24"/>
          <w:lang w:eastAsia="en-US"/>
        </w:rPr>
        <w:t xml:space="preserve"> in order to protect Ofsted ratings; </w:t>
      </w:r>
    </w:p>
    <w:p w14:paraId="1B8C4DFA" w14:textId="77777777" w:rsidR="000B6AB8" w:rsidRPr="000B6AB8" w:rsidRDefault="00270274" w:rsidP="000B6AB8">
      <w:pPr>
        <w:numPr>
          <w:ilvl w:val="0"/>
          <w:numId w:val="4"/>
        </w:numPr>
        <w:autoSpaceDE w:val="0"/>
        <w:autoSpaceDN w:val="0"/>
        <w:adjustRightInd w:val="0"/>
        <w:spacing w:after="120" w:line="259" w:lineRule="auto"/>
        <w:contextualSpacing/>
        <w:jc w:val="both"/>
        <w:rPr>
          <w:rFonts w:eastAsia="Calibri" w:cs="Arial"/>
          <w:color w:val="000000"/>
          <w:szCs w:val="24"/>
          <w:lang w:eastAsia="en-US"/>
        </w:rPr>
      </w:pPr>
      <w:r>
        <w:rPr>
          <w:rFonts w:eastAsia="Calibri" w:cs="Arial"/>
          <w:color w:val="000000"/>
          <w:szCs w:val="24"/>
          <w:lang w:eastAsia="en-US"/>
        </w:rPr>
        <w:t>I</w:t>
      </w:r>
      <w:r w:rsidRPr="000B6AB8">
        <w:rPr>
          <w:rFonts w:eastAsia="Calibri" w:cs="Arial"/>
          <w:color w:val="000000"/>
          <w:szCs w:val="24"/>
          <w:lang w:eastAsia="en-US"/>
        </w:rPr>
        <w:t>ncreased numbers of CLA, a national shortage of foster carers and increased use of local provision by other Local Authorities resulting in providers being able to 'cherry pick' referrals;</w:t>
      </w:r>
    </w:p>
    <w:p w14:paraId="70983700" w14:textId="77777777" w:rsidR="000B6AB8" w:rsidRPr="000B6AB8" w:rsidRDefault="00270274" w:rsidP="000B6AB8">
      <w:pPr>
        <w:numPr>
          <w:ilvl w:val="0"/>
          <w:numId w:val="4"/>
        </w:numPr>
        <w:autoSpaceDE w:val="0"/>
        <w:autoSpaceDN w:val="0"/>
        <w:adjustRightInd w:val="0"/>
        <w:spacing w:after="120" w:line="259" w:lineRule="auto"/>
        <w:contextualSpacing/>
        <w:jc w:val="both"/>
        <w:rPr>
          <w:rFonts w:eastAsia="Calibri" w:cs="Arial"/>
          <w:color w:val="000000"/>
          <w:szCs w:val="24"/>
          <w:lang w:eastAsia="en-US"/>
        </w:rPr>
      </w:pPr>
      <w:r>
        <w:rPr>
          <w:rFonts w:eastAsia="Calibri" w:cs="Arial"/>
          <w:color w:val="000000"/>
          <w:szCs w:val="24"/>
          <w:lang w:eastAsia="en-US"/>
        </w:rPr>
        <w:t>S</w:t>
      </w:r>
      <w:r w:rsidRPr="000B6AB8">
        <w:rPr>
          <w:rFonts w:eastAsia="Calibri" w:cs="Arial"/>
          <w:color w:val="000000"/>
          <w:szCs w:val="24"/>
          <w:lang w:eastAsia="en-US"/>
        </w:rPr>
        <w:t>piralling CLA placement costs, particularly in relation to agency children's home placements;</w:t>
      </w:r>
    </w:p>
    <w:p w14:paraId="1A82EA45" w14:textId="77777777" w:rsidR="000B6AB8" w:rsidRDefault="00270274" w:rsidP="000B6AB8">
      <w:pPr>
        <w:numPr>
          <w:ilvl w:val="0"/>
          <w:numId w:val="4"/>
        </w:numPr>
        <w:autoSpaceDE w:val="0"/>
        <w:autoSpaceDN w:val="0"/>
        <w:adjustRightInd w:val="0"/>
        <w:spacing w:after="120" w:line="259" w:lineRule="auto"/>
        <w:contextualSpacing/>
        <w:jc w:val="both"/>
        <w:rPr>
          <w:rFonts w:eastAsia="Calibri" w:cs="Arial"/>
          <w:color w:val="000000"/>
          <w:szCs w:val="24"/>
          <w:lang w:eastAsia="en-US"/>
        </w:rPr>
      </w:pPr>
      <w:r>
        <w:rPr>
          <w:rFonts w:eastAsia="Calibri" w:cs="Arial"/>
          <w:color w:val="000000"/>
          <w:szCs w:val="24"/>
          <w:lang w:eastAsia="en-US"/>
        </w:rPr>
        <w:t>S</w:t>
      </w:r>
      <w:r w:rsidRPr="000B6AB8">
        <w:rPr>
          <w:rFonts w:eastAsia="Calibri" w:cs="Arial"/>
          <w:color w:val="000000"/>
          <w:szCs w:val="24"/>
          <w:lang w:eastAsia="en-US"/>
        </w:rPr>
        <w:t>ignificant concerns raised by Ofsted through the Annual Conversation re. LCC's residential provision.</w:t>
      </w:r>
    </w:p>
    <w:p w14:paraId="2B6228DE" w14:textId="77777777" w:rsidR="007E5161" w:rsidRDefault="00042BBA" w:rsidP="007E5161">
      <w:pPr>
        <w:autoSpaceDE w:val="0"/>
        <w:autoSpaceDN w:val="0"/>
        <w:adjustRightInd w:val="0"/>
        <w:spacing w:after="120" w:line="259" w:lineRule="auto"/>
        <w:ind w:left="360"/>
        <w:contextualSpacing/>
        <w:jc w:val="both"/>
        <w:rPr>
          <w:rFonts w:eastAsia="Calibri" w:cs="Arial"/>
          <w:color w:val="000000"/>
          <w:szCs w:val="24"/>
          <w:lang w:eastAsia="en-US"/>
        </w:rPr>
      </w:pPr>
    </w:p>
    <w:p w14:paraId="2FC05FAF" w14:textId="25E5F904" w:rsidR="00E75840" w:rsidRPr="00042BBA" w:rsidRDefault="00270274" w:rsidP="00042BBA">
      <w:pPr>
        <w:autoSpaceDE w:val="0"/>
        <w:autoSpaceDN w:val="0"/>
        <w:adjustRightInd w:val="0"/>
        <w:spacing w:after="120" w:line="259" w:lineRule="auto"/>
        <w:contextualSpacing/>
        <w:jc w:val="both"/>
        <w:rPr>
          <w:rFonts w:eastAsia="Calibri" w:cs="Arial"/>
          <w:color w:val="000000"/>
          <w:szCs w:val="24"/>
          <w:lang w:eastAsia="en-US"/>
        </w:rPr>
      </w:pPr>
      <w:r>
        <w:rPr>
          <w:rFonts w:eastAsia="Calibri" w:cs="Arial"/>
          <w:color w:val="000000"/>
          <w:szCs w:val="24"/>
          <w:lang w:eastAsia="en-US"/>
        </w:rPr>
        <w:t xml:space="preserve">The proposed strategy is based around addressing these issues, and is attached at Appendix B. </w:t>
      </w:r>
    </w:p>
    <w:p w14:paraId="02237F0A" w14:textId="77777777" w:rsidR="00DD6FA0" w:rsidRDefault="00042BBA" w:rsidP="00DD6FA0">
      <w:pPr>
        <w:jc w:val="both"/>
      </w:pPr>
    </w:p>
    <w:p w14:paraId="2F16DA38" w14:textId="028ED677" w:rsidR="00DD6FA0" w:rsidRDefault="00270274" w:rsidP="00042BBA">
      <w:pPr>
        <w:jc w:val="both"/>
      </w:pPr>
      <w:r>
        <w:t xml:space="preserve">There will be an initial cost implication to establishing the Adolescent Support Unit (ASU), Crisis Unit and Extended Outreach. However it is anticipated that there will be long term cost savings following the implementation of the strategy. </w:t>
      </w:r>
    </w:p>
    <w:p w14:paraId="1ABE536A" w14:textId="77777777" w:rsidR="00DD6FA0" w:rsidRDefault="00042BBA"/>
    <w:p w14:paraId="02B53110" w14:textId="77777777" w:rsidR="00042BBA" w:rsidRDefault="00042BBA"/>
    <w:p w14:paraId="1292BE69" w14:textId="77777777" w:rsidR="00E75840" w:rsidRDefault="00270274">
      <w:pPr>
        <w:rPr>
          <w:b/>
        </w:rPr>
      </w:pPr>
      <w:r>
        <w:rPr>
          <w:b/>
        </w:rPr>
        <w:t>Consultations</w:t>
      </w:r>
    </w:p>
    <w:p w14:paraId="0F99F872" w14:textId="77777777" w:rsidR="00E75840" w:rsidRDefault="00042BBA"/>
    <w:p w14:paraId="3CC635B3" w14:textId="1B06DCCA" w:rsidR="00042BBA" w:rsidRDefault="00042BBA">
      <w:r>
        <w:t>None</w:t>
      </w:r>
    </w:p>
    <w:p w14:paraId="20DCF187" w14:textId="77777777" w:rsidR="00E75840" w:rsidRDefault="00042BBA">
      <w:pPr>
        <w:rPr>
          <w:b/>
        </w:rPr>
      </w:pPr>
    </w:p>
    <w:p w14:paraId="7C27E323" w14:textId="77777777" w:rsidR="00042BBA" w:rsidRDefault="00042BBA">
      <w:pPr>
        <w:rPr>
          <w:b/>
        </w:rPr>
      </w:pPr>
    </w:p>
    <w:p w14:paraId="572A7FCA" w14:textId="77777777" w:rsidR="00E75840" w:rsidRDefault="00270274" w:rsidP="00EA09B5">
      <w:pPr>
        <w:jc w:val="both"/>
      </w:pPr>
      <w:r>
        <w:rPr>
          <w:b/>
        </w:rPr>
        <w:t>Implications</w:t>
      </w:r>
      <w:r>
        <w:t xml:space="preserve">: </w:t>
      </w:r>
    </w:p>
    <w:p w14:paraId="1475479F" w14:textId="77777777" w:rsidR="00E75840" w:rsidRDefault="00042BBA" w:rsidP="00EA09B5">
      <w:pPr>
        <w:jc w:val="both"/>
      </w:pPr>
    </w:p>
    <w:p w14:paraId="72494D11" w14:textId="77777777" w:rsidR="00E75840" w:rsidRDefault="00270274" w:rsidP="00EA09B5">
      <w:pPr>
        <w:jc w:val="both"/>
      </w:pPr>
      <w:r>
        <w:t>This item has the following implications, as indicated:</w:t>
      </w:r>
    </w:p>
    <w:p w14:paraId="011E68C2" w14:textId="77777777" w:rsidR="00E867F7" w:rsidRDefault="00042BBA" w:rsidP="00EA09B5">
      <w:pPr>
        <w:jc w:val="both"/>
      </w:pPr>
    </w:p>
    <w:p w14:paraId="06A59D64" w14:textId="77777777" w:rsidR="00E867F7" w:rsidRDefault="00270274" w:rsidP="00EA09B5">
      <w:pPr>
        <w:jc w:val="both"/>
      </w:pPr>
      <w:r>
        <w:t xml:space="preserve">There will be an initial cost implication to establishing the Adolescent Support Unit (ASU), Crisis Unit and Extended Outreach. However it is anticipated that there will be long term cost savings following the implementation of the strategy. </w:t>
      </w:r>
    </w:p>
    <w:p w14:paraId="1A93C0AD" w14:textId="77777777" w:rsidR="00E75840" w:rsidRDefault="00042BBA" w:rsidP="00EA09B5">
      <w:pPr>
        <w:jc w:val="both"/>
      </w:pPr>
    </w:p>
    <w:p w14:paraId="2141BBFE" w14:textId="77777777" w:rsidR="00042BBA" w:rsidRDefault="00042BBA" w:rsidP="00EA09B5">
      <w:pPr>
        <w:jc w:val="both"/>
      </w:pPr>
      <w:bookmarkStart w:id="0" w:name="_GoBack"/>
      <w:bookmarkEnd w:id="0"/>
    </w:p>
    <w:p w14:paraId="3153666D" w14:textId="77777777" w:rsidR="00E75840" w:rsidRDefault="00270274" w:rsidP="00EA09B5">
      <w:pPr>
        <w:jc w:val="both"/>
        <w:rPr>
          <w:b/>
        </w:rPr>
      </w:pPr>
      <w:r w:rsidRPr="00092B2F">
        <w:rPr>
          <w:b/>
        </w:rPr>
        <w:t>Risk management</w:t>
      </w:r>
    </w:p>
    <w:p w14:paraId="678D394B" w14:textId="77777777" w:rsidR="00F3297C" w:rsidRDefault="00042BBA" w:rsidP="00EA09B5">
      <w:pPr>
        <w:jc w:val="both"/>
      </w:pPr>
    </w:p>
    <w:p w14:paraId="2FDBF286" w14:textId="77777777" w:rsidR="00C92BED" w:rsidRPr="00C92BED" w:rsidRDefault="00270274" w:rsidP="00EA09B5">
      <w:pPr>
        <w:jc w:val="both"/>
        <w:rPr>
          <w:b/>
        </w:rPr>
      </w:pPr>
      <w:r>
        <w:rPr>
          <w:b/>
        </w:rPr>
        <w:t xml:space="preserve">Financial Implications – </w:t>
      </w:r>
      <w:r w:rsidRPr="00C92BED">
        <w:rPr>
          <w:b/>
        </w:rPr>
        <w:t xml:space="preserve">Outreach </w:t>
      </w:r>
      <w:r>
        <w:rPr>
          <w:b/>
        </w:rPr>
        <w:t>Services</w:t>
      </w:r>
    </w:p>
    <w:p w14:paraId="23F3D752" w14:textId="77777777" w:rsidR="00C92BED" w:rsidRPr="00C055A0" w:rsidRDefault="00042BBA" w:rsidP="00EA09B5">
      <w:pPr>
        <w:jc w:val="both"/>
      </w:pPr>
    </w:p>
    <w:p w14:paraId="5C983A0E" w14:textId="0F368521" w:rsidR="00C055A0" w:rsidRDefault="00270274" w:rsidP="00EA09B5">
      <w:pPr>
        <w:jc w:val="both"/>
      </w:pPr>
      <w:r w:rsidRPr="00EE232E">
        <w:t xml:space="preserve">The existing Outreach Team of </w:t>
      </w:r>
      <w:r>
        <w:t>seven</w:t>
      </w:r>
      <w:r w:rsidRPr="00EE232E">
        <w:t xml:space="preserve"> staff has a provisional budget for 2017/18 of £0.35</w:t>
      </w:r>
      <w:r>
        <w:t>2</w:t>
      </w:r>
      <w:r w:rsidRPr="00EE232E">
        <w:t>m</w:t>
      </w:r>
      <w:r w:rsidRPr="00C055A0">
        <w:t>.</w:t>
      </w:r>
      <w:r>
        <w:t xml:space="preserve">  The units will take time to establish and as such the</w:t>
      </w:r>
      <w:r w:rsidRPr="00C055A0">
        <w:t xml:space="preserve"> proposals outlined in this report are expected to</w:t>
      </w:r>
      <w:r>
        <w:t xml:space="preserve"> cost an additional £0.266m in 2017/18 and £0.811</w:t>
      </w:r>
      <w:r w:rsidRPr="00C055A0">
        <w:t>m in 2018</w:t>
      </w:r>
      <w:r>
        <w:t>/19 and beyond, as outlined in the table below.  Costs include staff, non-staff and one off set up costs.</w:t>
      </w:r>
    </w:p>
    <w:p w14:paraId="56F8200C" w14:textId="77777777" w:rsidR="000F0865" w:rsidRDefault="00042BBA" w:rsidP="00753D6D"/>
    <w:tbl>
      <w:tblPr>
        <w:tblW w:w="9634" w:type="dxa"/>
        <w:tblLayout w:type="fixed"/>
        <w:tblLook w:val="04A0" w:firstRow="1" w:lastRow="0" w:firstColumn="1" w:lastColumn="0" w:noHBand="0" w:noVBand="1"/>
      </w:tblPr>
      <w:tblGrid>
        <w:gridCol w:w="3114"/>
        <w:gridCol w:w="1417"/>
        <w:gridCol w:w="1276"/>
        <w:gridCol w:w="992"/>
        <w:gridCol w:w="1559"/>
        <w:gridCol w:w="1276"/>
      </w:tblGrid>
      <w:tr w:rsidR="00075097" w14:paraId="4E3456E6" w14:textId="77777777" w:rsidTr="009F33D3">
        <w:trPr>
          <w:trHeight w:val="1275"/>
        </w:trPr>
        <w:tc>
          <w:tcPr>
            <w:tcW w:w="3114" w:type="dxa"/>
            <w:tcBorders>
              <w:top w:val="single" w:sz="4" w:space="0" w:color="auto"/>
              <w:left w:val="single" w:sz="4" w:space="0" w:color="auto"/>
              <w:bottom w:val="single" w:sz="4" w:space="0" w:color="auto"/>
              <w:right w:val="nil"/>
            </w:tcBorders>
            <w:shd w:val="clear" w:color="000000" w:fill="BFBFBF"/>
            <w:vAlign w:val="bottom"/>
            <w:hideMark/>
          </w:tcPr>
          <w:p w14:paraId="07F25AF5" w14:textId="77777777" w:rsidR="000F0865" w:rsidRPr="000F0865" w:rsidRDefault="00270274" w:rsidP="000F0865">
            <w:pPr>
              <w:jc w:val="center"/>
              <w:rPr>
                <w:rFonts w:cs="Arial"/>
                <w:b/>
                <w:bCs/>
                <w:color w:val="000000"/>
                <w:sz w:val="20"/>
              </w:rPr>
            </w:pPr>
            <w:r w:rsidRPr="000F0865">
              <w:rPr>
                <w:rFonts w:cs="Arial"/>
                <w:b/>
                <w:bCs/>
                <w:color w:val="000000"/>
                <w:sz w:val="20"/>
              </w:rPr>
              <w:lastRenderedPageBreak/>
              <w:t> </w:t>
            </w:r>
          </w:p>
        </w:tc>
        <w:tc>
          <w:tcPr>
            <w:tcW w:w="1417"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7798205F" w14:textId="77777777" w:rsidR="000F0865" w:rsidRPr="000F0865" w:rsidRDefault="00270274" w:rsidP="000F0865">
            <w:pPr>
              <w:jc w:val="center"/>
              <w:rPr>
                <w:rFonts w:cs="Arial"/>
                <w:b/>
                <w:bCs/>
                <w:color w:val="000000"/>
                <w:sz w:val="20"/>
              </w:rPr>
            </w:pPr>
            <w:r w:rsidRPr="000F0865">
              <w:rPr>
                <w:rFonts w:cs="Arial"/>
                <w:b/>
                <w:bCs/>
                <w:color w:val="000000"/>
                <w:sz w:val="20"/>
              </w:rPr>
              <w:t xml:space="preserve">Adolescent Support Unit </w:t>
            </w:r>
            <w:r w:rsidRPr="000F0865">
              <w:rPr>
                <w:rFonts w:cs="Arial"/>
                <w:b/>
                <w:bCs/>
                <w:color w:val="000000"/>
                <w:sz w:val="20"/>
              </w:rPr>
              <w:br/>
              <w:t>£m</w:t>
            </w:r>
          </w:p>
        </w:tc>
        <w:tc>
          <w:tcPr>
            <w:tcW w:w="1276" w:type="dxa"/>
            <w:tcBorders>
              <w:top w:val="single" w:sz="4" w:space="0" w:color="auto"/>
              <w:left w:val="nil"/>
              <w:bottom w:val="single" w:sz="4" w:space="0" w:color="auto"/>
              <w:right w:val="single" w:sz="4" w:space="0" w:color="auto"/>
            </w:tcBorders>
            <w:shd w:val="clear" w:color="000000" w:fill="BFBFBF"/>
            <w:vAlign w:val="bottom"/>
            <w:hideMark/>
          </w:tcPr>
          <w:p w14:paraId="221EE5A2" w14:textId="77777777" w:rsidR="000F0865" w:rsidRPr="000F0865" w:rsidRDefault="00270274" w:rsidP="000F0865">
            <w:pPr>
              <w:jc w:val="center"/>
              <w:rPr>
                <w:rFonts w:cs="Arial"/>
                <w:b/>
                <w:bCs/>
                <w:color w:val="000000"/>
                <w:sz w:val="20"/>
              </w:rPr>
            </w:pPr>
            <w:r w:rsidRPr="000F0865">
              <w:rPr>
                <w:rFonts w:cs="Arial"/>
                <w:b/>
                <w:bCs/>
                <w:color w:val="000000"/>
                <w:sz w:val="20"/>
              </w:rPr>
              <w:t xml:space="preserve">Extended Outreach </w:t>
            </w:r>
            <w:r w:rsidRPr="000F0865">
              <w:rPr>
                <w:rFonts w:cs="Arial"/>
                <w:b/>
                <w:bCs/>
                <w:color w:val="000000"/>
                <w:sz w:val="20"/>
              </w:rPr>
              <w:br/>
              <w:t>£m</w:t>
            </w:r>
          </w:p>
        </w:tc>
        <w:tc>
          <w:tcPr>
            <w:tcW w:w="992" w:type="dxa"/>
            <w:tcBorders>
              <w:top w:val="single" w:sz="4" w:space="0" w:color="auto"/>
              <w:left w:val="nil"/>
              <w:bottom w:val="single" w:sz="4" w:space="0" w:color="auto"/>
              <w:right w:val="single" w:sz="4" w:space="0" w:color="auto"/>
            </w:tcBorders>
            <w:shd w:val="clear" w:color="000000" w:fill="BFBFBF"/>
            <w:vAlign w:val="bottom"/>
            <w:hideMark/>
          </w:tcPr>
          <w:p w14:paraId="165C3AEA" w14:textId="77777777" w:rsidR="000F0865" w:rsidRPr="000F0865" w:rsidRDefault="00270274" w:rsidP="000F0865">
            <w:pPr>
              <w:jc w:val="center"/>
              <w:rPr>
                <w:rFonts w:cs="Arial"/>
                <w:b/>
                <w:bCs/>
                <w:color w:val="000000"/>
                <w:sz w:val="20"/>
              </w:rPr>
            </w:pPr>
            <w:r w:rsidRPr="000F0865">
              <w:rPr>
                <w:rFonts w:cs="Arial"/>
                <w:b/>
                <w:bCs/>
                <w:color w:val="000000"/>
                <w:sz w:val="20"/>
              </w:rPr>
              <w:t xml:space="preserve">Crisis Unit </w:t>
            </w:r>
            <w:r w:rsidRPr="000F0865">
              <w:rPr>
                <w:rFonts w:cs="Arial"/>
                <w:b/>
                <w:bCs/>
                <w:color w:val="000000"/>
                <w:sz w:val="20"/>
              </w:rPr>
              <w:br/>
              <w:t>£m</w:t>
            </w:r>
          </w:p>
        </w:tc>
        <w:tc>
          <w:tcPr>
            <w:tcW w:w="1559" w:type="dxa"/>
            <w:tcBorders>
              <w:top w:val="single" w:sz="4" w:space="0" w:color="auto"/>
              <w:left w:val="nil"/>
              <w:bottom w:val="single" w:sz="4" w:space="0" w:color="auto"/>
              <w:right w:val="single" w:sz="4" w:space="0" w:color="auto"/>
            </w:tcBorders>
            <w:shd w:val="clear" w:color="000000" w:fill="BFBFBF"/>
            <w:vAlign w:val="bottom"/>
            <w:hideMark/>
          </w:tcPr>
          <w:p w14:paraId="6B4CEC49" w14:textId="77777777" w:rsidR="000F0865" w:rsidRDefault="00270274" w:rsidP="000F0865">
            <w:pPr>
              <w:jc w:val="center"/>
              <w:rPr>
                <w:rFonts w:cs="Arial"/>
                <w:b/>
                <w:bCs/>
                <w:color w:val="000000"/>
                <w:sz w:val="20"/>
              </w:rPr>
            </w:pPr>
            <w:r w:rsidRPr="000F0865">
              <w:rPr>
                <w:rFonts w:cs="Arial"/>
                <w:b/>
                <w:bCs/>
                <w:color w:val="000000"/>
                <w:sz w:val="20"/>
              </w:rPr>
              <w:t>Manage</w:t>
            </w:r>
            <w:r>
              <w:rPr>
                <w:rFonts w:cs="Arial"/>
                <w:b/>
                <w:bCs/>
                <w:color w:val="000000"/>
                <w:sz w:val="20"/>
              </w:rPr>
              <w:t>-</w:t>
            </w:r>
          </w:p>
          <w:p w14:paraId="01119F17" w14:textId="77777777" w:rsidR="000F0865" w:rsidRPr="000F0865" w:rsidRDefault="00270274" w:rsidP="000F0865">
            <w:pPr>
              <w:jc w:val="center"/>
              <w:rPr>
                <w:rFonts w:cs="Arial"/>
                <w:b/>
                <w:bCs/>
                <w:color w:val="000000"/>
                <w:sz w:val="20"/>
              </w:rPr>
            </w:pPr>
            <w:r w:rsidRPr="000F0865">
              <w:rPr>
                <w:rFonts w:cs="Arial"/>
                <w:b/>
                <w:bCs/>
                <w:color w:val="000000"/>
                <w:sz w:val="20"/>
              </w:rPr>
              <w:t xml:space="preserve">ment and Business Support </w:t>
            </w:r>
            <w:r w:rsidRPr="000F0865">
              <w:rPr>
                <w:rFonts w:cs="Arial"/>
                <w:b/>
                <w:bCs/>
                <w:color w:val="000000"/>
                <w:sz w:val="20"/>
              </w:rPr>
              <w:br/>
              <w:t>£m</w:t>
            </w:r>
          </w:p>
        </w:tc>
        <w:tc>
          <w:tcPr>
            <w:tcW w:w="1276" w:type="dxa"/>
            <w:tcBorders>
              <w:top w:val="single" w:sz="4" w:space="0" w:color="auto"/>
              <w:left w:val="nil"/>
              <w:bottom w:val="single" w:sz="4" w:space="0" w:color="auto"/>
              <w:right w:val="single" w:sz="4" w:space="0" w:color="auto"/>
            </w:tcBorders>
            <w:shd w:val="clear" w:color="000000" w:fill="BFBFBF"/>
            <w:vAlign w:val="bottom"/>
            <w:hideMark/>
          </w:tcPr>
          <w:p w14:paraId="1C10DE7E" w14:textId="77777777" w:rsidR="000F0865" w:rsidRPr="000F0865" w:rsidRDefault="00270274" w:rsidP="000F0865">
            <w:pPr>
              <w:jc w:val="center"/>
              <w:rPr>
                <w:rFonts w:cs="Arial"/>
                <w:b/>
                <w:bCs/>
                <w:color w:val="000000"/>
                <w:sz w:val="20"/>
              </w:rPr>
            </w:pPr>
            <w:r w:rsidRPr="000F0865">
              <w:rPr>
                <w:rFonts w:cs="Arial"/>
                <w:b/>
                <w:bCs/>
                <w:color w:val="000000"/>
                <w:sz w:val="20"/>
              </w:rPr>
              <w:t xml:space="preserve">Total </w:t>
            </w:r>
            <w:r w:rsidRPr="000F0865">
              <w:rPr>
                <w:rFonts w:cs="Arial"/>
                <w:b/>
                <w:bCs/>
                <w:color w:val="000000"/>
                <w:sz w:val="20"/>
              </w:rPr>
              <w:br/>
              <w:t>£m</w:t>
            </w:r>
          </w:p>
        </w:tc>
      </w:tr>
      <w:tr w:rsidR="00075097" w14:paraId="653E6371" w14:textId="77777777" w:rsidTr="009F33D3">
        <w:trPr>
          <w:trHeight w:val="255"/>
        </w:trPr>
        <w:tc>
          <w:tcPr>
            <w:tcW w:w="3114" w:type="dxa"/>
            <w:tcBorders>
              <w:top w:val="nil"/>
              <w:left w:val="single" w:sz="4" w:space="0" w:color="auto"/>
              <w:bottom w:val="single" w:sz="4" w:space="0" w:color="auto"/>
              <w:right w:val="nil"/>
            </w:tcBorders>
            <w:shd w:val="clear" w:color="auto" w:fill="auto"/>
            <w:noWrap/>
            <w:vAlign w:val="bottom"/>
            <w:hideMark/>
          </w:tcPr>
          <w:p w14:paraId="48F693B4" w14:textId="77777777" w:rsidR="000F0865" w:rsidRPr="000F0865" w:rsidRDefault="00270274" w:rsidP="000F0865">
            <w:pPr>
              <w:rPr>
                <w:rFonts w:cs="Arial"/>
                <w:color w:val="000000"/>
                <w:sz w:val="20"/>
              </w:rPr>
            </w:pPr>
            <w:r w:rsidRPr="000F0865">
              <w:rPr>
                <w:rFonts w:cs="Arial"/>
                <w:color w:val="000000"/>
                <w:sz w:val="20"/>
              </w:rPr>
              <w:t>Staff Costs</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368D2FF7" w14:textId="77777777" w:rsidR="000F0865" w:rsidRPr="000F0865" w:rsidRDefault="00270274" w:rsidP="000F0865">
            <w:pPr>
              <w:jc w:val="right"/>
              <w:rPr>
                <w:rFonts w:cs="Arial"/>
                <w:color w:val="000000"/>
                <w:sz w:val="20"/>
              </w:rPr>
            </w:pPr>
            <w:r w:rsidRPr="000F0865">
              <w:rPr>
                <w:rFonts w:cs="Arial"/>
                <w:color w:val="000000"/>
                <w:sz w:val="20"/>
              </w:rPr>
              <w:t xml:space="preserve">0.358 </w:t>
            </w:r>
          </w:p>
        </w:tc>
        <w:tc>
          <w:tcPr>
            <w:tcW w:w="1276" w:type="dxa"/>
            <w:tcBorders>
              <w:top w:val="nil"/>
              <w:left w:val="nil"/>
              <w:bottom w:val="single" w:sz="4" w:space="0" w:color="auto"/>
              <w:right w:val="single" w:sz="4" w:space="0" w:color="auto"/>
            </w:tcBorders>
            <w:shd w:val="clear" w:color="auto" w:fill="auto"/>
            <w:noWrap/>
            <w:vAlign w:val="bottom"/>
            <w:hideMark/>
          </w:tcPr>
          <w:p w14:paraId="6175ECD2" w14:textId="77777777" w:rsidR="000F0865" w:rsidRPr="000F0865" w:rsidRDefault="00270274" w:rsidP="000F0865">
            <w:pPr>
              <w:jc w:val="right"/>
              <w:rPr>
                <w:rFonts w:cs="Arial"/>
                <w:color w:val="000000"/>
                <w:sz w:val="20"/>
              </w:rPr>
            </w:pPr>
            <w:r w:rsidRPr="000F0865">
              <w:rPr>
                <w:rFonts w:cs="Arial"/>
                <w:color w:val="000000"/>
                <w:sz w:val="20"/>
              </w:rPr>
              <w:t xml:space="preserve">0.345 </w:t>
            </w:r>
          </w:p>
        </w:tc>
        <w:tc>
          <w:tcPr>
            <w:tcW w:w="992" w:type="dxa"/>
            <w:tcBorders>
              <w:top w:val="nil"/>
              <w:left w:val="nil"/>
              <w:bottom w:val="single" w:sz="4" w:space="0" w:color="auto"/>
              <w:right w:val="single" w:sz="4" w:space="0" w:color="auto"/>
            </w:tcBorders>
            <w:shd w:val="clear" w:color="auto" w:fill="auto"/>
            <w:noWrap/>
            <w:vAlign w:val="bottom"/>
            <w:hideMark/>
          </w:tcPr>
          <w:p w14:paraId="040B292E" w14:textId="77777777" w:rsidR="000F0865" w:rsidRPr="000F0865" w:rsidRDefault="00270274" w:rsidP="000F0865">
            <w:pPr>
              <w:jc w:val="right"/>
              <w:rPr>
                <w:rFonts w:cs="Arial"/>
                <w:color w:val="000000"/>
                <w:sz w:val="20"/>
              </w:rPr>
            </w:pPr>
            <w:r w:rsidRPr="000F0865">
              <w:rPr>
                <w:rFonts w:cs="Arial"/>
                <w:color w:val="000000"/>
                <w:sz w:val="20"/>
              </w:rPr>
              <w:t xml:space="preserve">0.232 </w:t>
            </w:r>
          </w:p>
        </w:tc>
        <w:tc>
          <w:tcPr>
            <w:tcW w:w="1559" w:type="dxa"/>
            <w:tcBorders>
              <w:top w:val="nil"/>
              <w:left w:val="nil"/>
              <w:bottom w:val="single" w:sz="4" w:space="0" w:color="auto"/>
              <w:right w:val="single" w:sz="4" w:space="0" w:color="auto"/>
            </w:tcBorders>
            <w:shd w:val="clear" w:color="auto" w:fill="auto"/>
            <w:noWrap/>
            <w:vAlign w:val="bottom"/>
            <w:hideMark/>
          </w:tcPr>
          <w:p w14:paraId="3B378AF9" w14:textId="77777777" w:rsidR="000F0865" w:rsidRPr="000F0865" w:rsidRDefault="00270274" w:rsidP="000F0865">
            <w:pPr>
              <w:jc w:val="right"/>
              <w:rPr>
                <w:rFonts w:cs="Arial"/>
                <w:color w:val="000000"/>
                <w:sz w:val="20"/>
              </w:rPr>
            </w:pPr>
            <w:r w:rsidRPr="000F0865">
              <w:rPr>
                <w:rFonts w:cs="Arial"/>
                <w:color w:val="000000"/>
                <w:sz w:val="20"/>
              </w:rPr>
              <w:t xml:space="preserve">0.076 </w:t>
            </w:r>
          </w:p>
        </w:tc>
        <w:tc>
          <w:tcPr>
            <w:tcW w:w="1276" w:type="dxa"/>
            <w:tcBorders>
              <w:top w:val="nil"/>
              <w:left w:val="nil"/>
              <w:bottom w:val="single" w:sz="4" w:space="0" w:color="auto"/>
              <w:right w:val="single" w:sz="4" w:space="0" w:color="auto"/>
            </w:tcBorders>
            <w:shd w:val="clear" w:color="auto" w:fill="auto"/>
            <w:noWrap/>
            <w:vAlign w:val="bottom"/>
            <w:hideMark/>
          </w:tcPr>
          <w:p w14:paraId="5CDB5450" w14:textId="77777777" w:rsidR="000F0865" w:rsidRPr="000F0865" w:rsidRDefault="00270274" w:rsidP="000F0865">
            <w:pPr>
              <w:jc w:val="right"/>
              <w:rPr>
                <w:rFonts w:cs="Arial"/>
                <w:color w:val="000000"/>
                <w:sz w:val="20"/>
              </w:rPr>
            </w:pPr>
            <w:r w:rsidRPr="000F0865">
              <w:rPr>
                <w:rFonts w:cs="Arial"/>
                <w:color w:val="000000"/>
                <w:sz w:val="20"/>
              </w:rPr>
              <w:t xml:space="preserve">1.011 </w:t>
            </w:r>
          </w:p>
        </w:tc>
      </w:tr>
      <w:tr w:rsidR="00075097" w14:paraId="4595EC97" w14:textId="77777777" w:rsidTr="009F33D3">
        <w:trPr>
          <w:trHeight w:val="255"/>
        </w:trPr>
        <w:tc>
          <w:tcPr>
            <w:tcW w:w="3114" w:type="dxa"/>
            <w:tcBorders>
              <w:top w:val="nil"/>
              <w:left w:val="single" w:sz="4" w:space="0" w:color="auto"/>
              <w:bottom w:val="single" w:sz="4" w:space="0" w:color="auto"/>
              <w:right w:val="nil"/>
            </w:tcBorders>
            <w:shd w:val="clear" w:color="auto" w:fill="auto"/>
            <w:noWrap/>
            <w:vAlign w:val="bottom"/>
            <w:hideMark/>
          </w:tcPr>
          <w:p w14:paraId="2579D2D9" w14:textId="77777777" w:rsidR="000F0865" w:rsidRPr="000F0865" w:rsidRDefault="00270274" w:rsidP="000F0865">
            <w:pPr>
              <w:rPr>
                <w:rFonts w:cs="Arial"/>
                <w:color w:val="000000"/>
                <w:sz w:val="20"/>
              </w:rPr>
            </w:pPr>
            <w:r w:rsidRPr="000F0865">
              <w:rPr>
                <w:rFonts w:cs="Arial"/>
                <w:color w:val="000000"/>
                <w:sz w:val="20"/>
              </w:rPr>
              <w:t>Non-Staff Costs</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4D9A9EC8" w14:textId="77777777" w:rsidR="000F0865" w:rsidRPr="000F0865" w:rsidRDefault="00270274" w:rsidP="000F0865">
            <w:pPr>
              <w:jc w:val="right"/>
              <w:rPr>
                <w:rFonts w:cs="Arial"/>
                <w:color w:val="000000"/>
                <w:sz w:val="20"/>
              </w:rPr>
            </w:pPr>
            <w:r w:rsidRPr="000F0865">
              <w:rPr>
                <w:rFonts w:cs="Arial"/>
                <w:color w:val="000000"/>
                <w:sz w:val="20"/>
              </w:rPr>
              <w:t xml:space="preserve">0.065 </w:t>
            </w:r>
          </w:p>
        </w:tc>
        <w:tc>
          <w:tcPr>
            <w:tcW w:w="1276" w:type="dxa"/>
            <w:tcBorders>
              <w:top w:val="nil"/>
              <w:left w:val="nil"/>
              <w:bottom w:val="single" w:sz="4" w:space="0" w:color="auto"/>
              <w:right w:val="single" w:sz="4" w:space="0" w:color="auto"/>
            </w:tcBorders>
            <w:shd w:val="clear" w:color="auto" w:fill="auto"/>
            <w:noWrap/>
            <w:vAlign w:val="bottom"/>
            <w:hideMark/>
          </w:tcPr>
          <w:p w14:paraId="3FCA313A" w14:textId="77777777" w:rsidR="000F0865" w:rsidRPr="000F0865" w:rsidRDefault="00270274" w:rsidP="000F0865">
            <w:pPr>
              <w:jc w:val="right"/>
              <w:rPr>
                <w:rFonts w:cs="Arial"/>
                <w:color w:val="000000"/>
                <w:sz w:val="20"/>
              </w:rPr>
            </w:pPr>
            <w:r w:rsidRPr="000F0865">
              <w:rPr>
                <w:rFonts w:cs="Arial"/>
                <w:color w:val="000000"/>
                <w:sz w:val="20"/>
              </w:rPr>
              <w:t xml:space="preserve">0.025 </w:t>
            </w:r>
          </w:p>
        </w:tc>
        <w:tc>
          <w:tcPr>
            <w:tcW w:w="992" w:type="dxa"/>
            <w:tcBorders>
              <w:top w:val="nil"/>
              <w:left w:val="nil"/>
              <w:bottom w:val="single" w:sz="4" w:space="0" w:color="auto"/>
              <w:right w:val="single" w:sz="4" w:space="0" w:color="auto"/>
            </w:tcBorders>
            <w:shd w:val="clear" w:color="auto" w:fill="auto"/>
            <w:noWrap/>
            <w:vAlign w:val="bottom"/>
            <w:hideMark/>
          </w:tcPr>
          <w:p w14:paraId="4ACF5E5A" w14:textId="77777777" w:rsidR="000F0865" w:rsidRPr="000F0865" w:rsidRDefault="00270274" w:rsidP="000F0865">
            <w:pPr>
              <w:jc w:val="right"/>
              <w:rPr>
                <w:rFonts w:cs="Arial"/>
                <w:color w:val="000000"/>
                <w:sz w:val="20"/>
              </w:rPr>
            </w:pPr>
            <w:r w:rsidRPr="000F0865">
              <w:rPr>
                <w:rFonts w:cs="Arial"/>
                <w:color w:val="000000"/>
                <w:sz w:val="20"/>
              </w:rPr>
              <w:t xml:space="preserve">0.059 </w:t>
            </w:r>
          </w:p>
        </w:tc>
        <w:tc>
          <w:tcPr>
            <w:tcW w:w="1559" w:type="dxa"/>
            <w:tcBorders>
              <w:top w:val="nil"/>
              <w:left w:val="nil"/>
              <w:bottom w:val="single" w:sz="4" w:space="0" w:color="auto"/>
              <w:right w:val="single" w:sz="4" w:space="0" w:color="auto"/>
            </w:tcBorders>
            <w:shd w:val="clear" w:color="auto" w:fill="auto"/>
            <w:noWrap/>
            <w:vAlign w:val="bottom"/>
            <w:hideMark/>
          </w:tcPr>
          <w:p w14:paraId="10638C33" w14:textId="77777777" w:rsidR="000F0865" w:rsidRPr="000F0865" w:rsidRDefault="00270274" w:rsidP="000F0865">
            <w:pPr>
              <w:jc w:val="right"/>
              <w:rPr>
                <w:rFonts w:cs="Arial"/>
                <w:color w:val="000000"/>
                <w:sz w:val="20"/>
              </w:rPr>
            </w:pPr>
            <w:r w:rsidRPr="000F0865">
              <w:rPr>
                <w:rFonts w:cs="Arial"/>
                <w:color w:val="000000"/>
                <w:sz w:val="20"/>
              </w:rPr>
              <w:t xml:space="preserve">0.003 </w:t>
            </w:r>
          </w:p>
        </w:tc>
        <w:tc>
          <w:tcPr>
            <w:tcW w:w="1276" w:type="dxa"/>
            <w:tcBorders>
              <w:top w:val="nil"/>
              <w:left w:val="nil"/>
              <w:bottom w:val="single" w:sz="4" w:space="0" w:color="auto"/>
              <w:right w:val="single" w:sz="4" w:space="0" w:color="auto"/>
            </w:tcBorders>
            <w:shd w:val="clear" w:color="auto" w:fill="auto"/>
            <w:noWrap/>
            <w:vAlign w:val="bottom"/>
            <w:hideMark/>
          </w:tcPr>
          <w:p w14:paraId="56062A69" w14:textId="77777777" w:rsidR="000F0865" w:rsidRPr="000F0865" w:rsidRDefault="00270274" w:rsidP="000F0865">
            <w:pPr>
              <w:jc w:val="right"/>
              <w:rPr>
                <w:rFonts w:cs="Arial"/>
                <w:color w:val="000000"/>
                <w:sz w:val="20"/>
              </w:rPr>
            </w:pPr>
            <w:r w:rsidRPr="000F0865">
              <w:rPr>
                <w:rFonts w:cs="Arial"/>
                <w:color w:val="000000"/>
                <w:sz w:val="20"/>
              </w:rPr>
              <w:t xml:space="preserve">0.152 </w:t>
            </w:r>
          </w:p>
        </w:tc>
      </w:tr>
      <w:tr w:rsidR="00075097" w14:paraId="48BB4ACD" w14:textId="77777777" w:rsidTr="009F33D3">
        <w:trPr>
          <w:trHeight w:val="255"/>
        </w:trPr>
        <w:tc>
          <w:tcPr>
            <w:tcW w:w="3114" w:type="dxa"/>
            <w:tcBorders>
              <w:top w:val="nil"/>
              <w:left w:val="single" w:sz="4" w:space="0" w:color="auto"/>
              <w:bottom w:val="single" w:sz="4" w:space="0" w:color="auto"/>
              <w:right w:val="nil"/>
            </w:tcBorders>
            <w:shd w:val="clear" w:color="000000" w:fill="BFBFBF"/>
            <w:noWrap/>
            <w:vAlign w:val="bottom"/>
            <w:hideMark/>
          </w:tcPr>
          <w:p w14:paraId="23A22CA8" w14:textId="77777777" w:rsidR="000F0865" w:rsidRPr="000F0865" w:rsidRDefault="00270274" w:rsidP="000F0865">
            <w:pPr>
              <w:rPr>
                <w:rFonts w:cs="Arial"/>
                <w:b/>
                <w:bCs/>
                <w:color w:val="000000"/>
                <w:sz w:val="20"/>
              </w:rPr>
            </w:pPr>
            <w:r w:rsidRPr="000F0865">
              <w:rPr>
                <w:rFonts w:cs="Arial"/>
                <w:b/>
                <w:bCs/>
                <w:color w:val="000000"/>
                <w:sz w:val="20"/>
              </w:rPr>
              <w:t>Total</w:t>
            </w:r>
          </w:p>
        </w:tc>
        <w:tc>
          <w:tcPr>
            <w:tcW w:w="1417" w:type="dxa"/>
            <w:tcBorders>
              <w:top w:val="nil"/>
              <w:left w:val="single" w:sz="4" w:space="0" w:color="auto"/>
              <w:bottom w:val="single" w:sz="4" w:space="0" w:color="auto"/>
              <w:right w:val="single" w:sz="4" w:space="0" w:color="auto"/>
            </w:tcBorders>
            <w:shd w:val="clear" w:color="000000" w:fill="BFBFBF"/>
            <w:noWrap/>
            <w:vAlign w:val="bottom"/>
            <w:hideMark/>
          </w:tcPr>
          <w:p w14:paraId="1F97EDAB" w14:textId="77777777" w:rsidR="000F0865" w:rsidRPr="000F0865" w:rsidRDefault="00270274" w:rsidP="000F0865">
            <w:pPr>
              <w:jc w:val="right"/>
              <w:rPr>
                <w:rFonts w:cs="Arial"/>
                <w:b/>
                <w:bCs/>
                <w:color w:val="000000"/>
                <w:sz w:val="20"/>
              </w:rPr>
            </w:pPr>
            <w:r w:rsidRPr="000F0865">
              <w:rPr>
                <w:rFonts w:cs="Arial"/>
                <w:b/>
                <w:bCs/>
                <w:color w:val="000000"/>
                <w:sz w:val="20"/>
              </w:rPr>
              <w:t xml:space="preserve">0.423 </w:t>
            </w:r>
          </w:p>
        </w:tc>
        <w:tc>
          <w:tcPr>
            <w:tcW w:w="1276" w:type="dxa"/>
            <w:tcBorders>
              <w:top w:val="nil"/>
              <w:left w:val="nil"/>
              <w:bottom w:val="single" w:sz="4" w:space="0" w:color="auto"/>
              <w:right w:val="single" w:sz="4" w:space="0" w:color="auto"/>
            </w:tcBorders>
            <w:shd w:val="clear" w:color="000000" w:fill="BFBFBF"/>
            <w:noWrap/>
            <w:vAlign w:val="bottom"/>
            <w:hideMark/>
          </w:tcPr>
          <w:p w14:paraId="22857B49" w14:textId="77777777" w:rsidR="000F0865" w:rsidRPr="000F0865" w:rsidRDefault="00270274" w:rsidP="000F0865">
            <w:pPr>
              <w:jc w:val="right"/>
              <w:rPr>
                <w:rFonts w:cs="Arial"/>
                <w:b/>
                <w:bCs/>
                <w:color w:val="000000"/>
                <w:sz w:val="20"/>
              </w:rPr>
            </w:pPr>
            <w:r w:rsidRPr="000F0865">
              <w:rPr>
                <w:rFonts w:cs="Arial"/>
                <w:b/>
                <w:bCs/>
                <w:color w:val="000000"/>
                <w:sz w:val="20"/>
              </w:rPr>
              <w:t xml:space="preserve">0.370 </w:t>
            </w:r>
          </w:p>
        </w:tc>
        <w:tc>
          <w:tcPr>
            <w:tcW w:w="992" w:type="dxa"/>
            <w:tcBorders>
              <w:top w:val="nil"/>
              <w:left w:val="nil"/>
              <w:bottom w:val="single" w:sz="4" w:space="0" w:color="auto"/>
              <w:right w:val="single" w:sz="4" w:space="0" w:color="auto"/>
            </w:tcBorders>
            <w:shd w:val="clear" w:color="000000" w:fill="BFBFBF"/>
            <w:noWrap/>
            <w:vAlign w:val="bottom"/>
            <w:hideMark/>
          </w:tcPr>
          <w:p w14:paraId="75D761E7" w14:textId="77777777" w:rsidR="000F0865" w:rsidRPr="000F0865" w:rsidRDefault="00270274" w:rsidP="000F0865">
            <w:pPr>
              <w:jc w:val="right"/>
              <w:rPr>
                <w:rFonts w:cs="Arial"/>
                <w:b/>
                <w:bCs/>
                <w:color w:val="000000"/>
                <w:sz w:val="20"/>
              </w:rPr>
            </w:pPr>
            <w:r w:rsidRPr="000F0865">
              <w:rPr>
                <w:rFonts w:cs="Arial"/>
                <w:b/>
                <w:bCs/>
                <w:color w:val="000000"/>
                <w:sz w:val="20"/>
              </w:rPr>
              <w:t>0.29</w:t>
            </w:r>
            <w:r>
              <w:rPr>
                <w:rFonts w:cs="Arial"/>
                <w:b/>
                <w:bCs/>
                <w:color w:val="000000"/>
                <w:sz w:val="20"/>
              </w:rPr>
              <w:t>1</w:t>
            </w:r>
            <w:r w:rsidRPr="000F0865">
              <w:rPr>
                <w:rFonts w:cs="Arial"/>
                <w:b/>
                <w:bCs/>
                <w:color w:val="000000"/>
                <w:sz w:val="20"/>
              </w:rPr>
              <w:t xml:space="preserve"> </w:t>
            </w:r>
          </w:p>
        </w:tc>
        <w:tc>
          <w:tcPr>
            <w:tcW w:w="1559" w:type="dxa"/>
            <w:tcBorders>
              <w:top w:val="nil"/>
              <w:left w:val="nil"/>
              <w:bottom w:val="single" w:sz="4" w:space="0" w:color="auto"/>
              <w:right w:val="single" w:sz="4" w:space="0" w:color="auto"/>
            </w:tcBorders>
            <w:shd w:val="clear" w:color="000000" w:fill="BFBFBF"/>
            <w:noWrap/>
            <w:vAlign w:val="bottom"/>
            <w:hideMark/>
          </w:tcPr>
          <w:p w14:paraId="62D3D892" w14:textId="77777777" w:rsidR="000F0865" w:rsidRPr="000F0865" w:rsidRDefault="00270274" w:rsidP="000F0865">
            <w:pPr>
              <w:jc w:val="right"/>
              <w:rPr>
                <w:rFonts w:cs="Arial"/>
                <w:b/>
                <w:bCs/>
                <w:color w:val="000000"/>
                <w:sz w:val="20"/>
              </w:rPr>
            </w:pPr>
            <w:r w:rsidRPr="000F0865">
              <w:rPr>
                <w:rFonts w:cs="Arial"/>
                <w:b/>
                <w:bCs/>
                <w:color w:val="000000"/>
                <w:sz w:val="20"/>
              </w:rPr>
              <w:t xml:space="preserve">0.079 </w:t>
            </w:r>
          </w:p>
        </w:tc>
        <w:tc>
          <w:tcPr>
            <w:tcW w:w="1276" w:type="dxa"/>
            <w:tcBorders>
              <w:top w:val="nil"/>
              <w:left w:val="nil"/>
              <w:bottom w:val="single" w:sz="4" w:space="0" w:color="auto"/>
              <w:right w:val="single" w:sz="4" w:space="0" w:color="auto"/>
            </w:tcBorders>
            <w:shd w:val="clear" w:color="000000" w:fill="BFBFBF"/>
            <w:noWrap/>
            <w:vAlign w:val="bottom"/>
            <w:hideMark/>
          </w:tcPr>
          <w:p w14:paraId="74284A67" w14:textId="77777777" w:rsidR="000F0865" w:rsidRPr="000F0865" w:rsidRDefault="00270274" w:rsidP="000F0865">
            <w:pPr>
              <w:jc w:val="right"/>
              <w:rPr>
                <w:rFonts w:cs="Arial"/>
                <w:b/>
                <w:bCs/>
                <w:color w:val="000000"/>
                <w:sz w:val="20"/>
              </w:rPr>
            </w:pPr>
            <w:r w:rsidRPr="000F0865">
              <w:rPr>
                <w:rFonts w:cs="Arial"/>
                <w:b/>
                <w:bCs/>
                <w:color w:val="000000"/>
                <w:sz w:val="20"/>
              </w:rPr>
              <w:t xml:space="preserve">1.163 </w:t>
            </w:r>
          </w:p>
        </w:tc>
      </w:tr>
      <w:tr w:rsidR="00075097" w14:paraId="376E5851" w14:textId="77777777" w:rsidTr="009F33D3">
        <w:trPr>
          <w:trHeight w:val="255"/>
        </w:trPr>
        <w:tc>
          <w:tcPr>
            <w:tcW w:w="3114" w:type="dxa"/>
            <w:tcBorders>
              <w:top w:val="single" w:sz="4" w:space="0" w:color="auto"/>
              <w:left w:val="single" w:sz="4" w:space="0" w:color="auto"/>
              <w:bottom w:val="single" w:sz="4" w:space="0" w:color="auto"/>
            </w:tcBorders>
            <w:shd w:val="clear" w:color="auto" w:fill="auto"/>
            <w:noWrap/>
            <w:vAlign w:val="bottom"/>
            <w:hideMark/>
          </w:tcPr>
          <w:p w14:paraId="54317E34" w14:textId="77777777" w:rsidR="000F0865" w:rsidRPr="000F0865" w:rsidRDefault="00270274" w:rsidP="000F0865">
            <w:pPr>
              <w:rPr>
                <w:rFonts w:cs="Arial"/>
                <w:color w:val="000000"/>
                <w:sz w:val="20"/>
              </w:rPr>
            </w:pPr>
            <w:r w:rsidRPr="000F0865">
              <w:rPr>
                <w:rFonts w:cs="Arial"/>
                <w:color w:val="000000"/>
                <w:sz w:val="20"/>
              </w:rPr>
              <w:t>Less Current Budget Provision</w:t>
            </w:r>
          </w:p>
        </w:tc>
        <w:tc>
          <w:tcPr>
            <w:tcW w:w="1417" w:type="dxa"/>
            <w:tcBorders>
              <w:top w:val="single" w:sz="4" w:space="0" w:color="auto"/>
              <w:bottom w:val="single" w:sz="4" w:space="0" w:color="auto"/>
            </w:tcBorders>
            <w:shd w:val="clear" w:color="auto" w:fill="auto"/>
            <w:noWrap/>
            <w:vAlign w:val="bottom"/>
            <w:hideMark/>
          </w:tcPr>
          <w:p w14:paraId="09C361AB" w14:textId="77777777" w:rsidR="000F0865" w:rsidRPr="000F0865" w:rsidRDefault="00270274" w:rsidP="000F0865">
            <w:pPr>
              <w:rPr>
                <w:rFonts w:cs="Arial"/>
                <w:color w:val="000000"/>
                <w:sz w:val="20"/>
              </w:rPr>
            </w:pPr>
            <w:r w:rsidRPr="000F0865">
              <w:rPr>
                <w:rFonts w:cs="Arial"/>
                <w:color w:val="000000"/>
                <w:sz w:val="20"/>
              </w:rPr>
              <w:t> </w:t>
            </w:r>
          </w:p>
        </w:tc>
        <w:tc>
          <w:tcPr>
            <w:tcW w:w="1276" w:type="dxa"/>
            <w:tcBorders>
              <w:top w:val="single" w:sz="4" w:space="0" w:color="auto"/>
              <w:bottom w:val="single" w:sz="4" w:space="0" w:color="auto"/>
            </w:tcBorders>
            <w:shd w:val="clear" w:color="auto" w:fill="auto"/>
            <w:noWrap/>
            <w:vAlign w:val="bottom"/>
            <w:hideMark/>
          </w:tcPr>
          <w:p w14:paraId="27868941" w14:textId="77777777" w:rsidR="000F0865" w:rsidRPr="000F0865" w:rsidRDefault="00270274" w:rsidP="000F0865">
            <w:pPr>
              <w:rPr>
                <w:rFonts w:cs="Arial"/>
                <w:color w:val="000000"/>
                <w:sz w:val="20"/>
              </w:rPr>
            </w:pPr>
            <w:r w:rsidRPr="000F0865">
              <w:rPr>
                <w:rFonts w:cs="Arial"/>
                <w:color w:val="000000"/>
                <w:sz w:val="20"/>
              </w:rPr>
              <w:t> </w:t>
            </w:r>
          </w:p>
        </w:tc>
        <w:tc>
          <w:tcPr>
            <w:tcW w:w="992" w:type="dxa"/>
            <w:tcBorders>
              <w:top w:val="single" w:sz="4" w:space="0" w:color="auto"/>
              <w:bottom w:val="single" w:sz="4" w:space="0" w:color="auto"/>
            </w:tcBorders>
            <w:shd w:val="clear" w:color="auto" w:fill="auto"/>
            <w:noWrap/>
            <w:vAlign w:val="bottom"/>
            <w:hideMark/>
          </w:tcPr>
          <w:p w14:paraId="6F4C5BED" w14:textId="77777777" w:rsidR="000F0865" w:rsidRPr="000F0865" w:rsidRDefault="00270274" w:rsidP="000F0865">
            <w:pPr>
              <w:rPr>
                <w:rFonts w:cs="Arial"/>
                <w:color w:val="000000"/>
                <w:sz w:val="20"/>
              </w:rPr>
            </w:pPr>
            <w:r w:rsidRPr="000F0865">
              <w:rPr>
                <w:rFonts w:cs="Arial"/>
                <w:color w:val="000000"/>
                <w:sz w:val="20"/>
              </w:rPr>
              <w:t> </w:t>
            </w:r>
          </w:p>
        </w:tc>
        <w:tc>
          <w:tcPr>
            <w:tcW w:w="1559" w:type="dxa"/>
            <w:tcBorders>
              <w:top w:val="single" w:sz="4" w:space="0" w:color="auto"/>
              <w:bottom w:val="single" w:sz="4" w:space="0" w:color="auto"/>
              <w:right w:val="single" w:sz="4" w:space="0" w:color="auto"/>
            </w:tcBorders>
            <w:shd w:val="clear" w:color="auto" w:fill="auto"/>
            <w:noWrap/>
            <w:vAlign w:val="bottom"/>
            <w:hideMark/>
          </w:tcPr>
          <w:p w14:paraId="5F6F80B7" w14:textId="77777777" w:rsidR="000F0865" w:rsidRPr="000F0865" w:rsidRDefault="00270274" w:rsidP="000F0865">
            <w:pPr>
              <w:rPr>
                <w:rFonts w:cs="Arial"/>
                <w:color w:val="000000"/>
                <w:sz w:val="20"/>
              </w:rPr>
            </w:pPr>
            <w:r w:rsidRPr="000F0865">
              <w:rPr>
                <w:rFonts w:cs="Arial"/>
                <w:color w:val="000000"/>
                <w:sz w:val="20"/>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3A9E2CB" w14:textId="77777777" w:rsidR="000F0865" w:rsidRPr="000F0865" w:rsidRDefault="00270274" w:rsidP="00346D96">
            <w:pPr>
              <w:jc w:val="right"/>
              <w:rPr>
                <w:rFonts w:cs="Arial"/>
                <w:color w:val="000000"/>
                <w:sz w:val="20"/>
              </w:rPr>
            </w:pPr>
            <w:r w:rsidRPr="000F0865">
              <w:rPr>
                <w:rFonts w:cs="Arial"/>
                <w:color w:val="FF0000"/>
                <w:sz w:val="20"/>
              </w:rPr>
              <w:t>-0.35</w:t>
            </w:r>
            <w:r>
              <w:rPr>
                <w:rFonts w:cs="Arial"/>
                <w:color w:val="FF0000"/>
                <w:sz w:val="20"/>
              </w:rPr>
              <w:t>2</w:t>
            </w:r>
            <w:r w:rsidRPr="000F0865">
              <w:rPr>
                <w:rFonts w:cs="Arial"/>
                <w:color w:val="FF0000"/>
                <w:sz w:val="20"/>
              </w:rPr>
              <w:t xml:space="preserve"> </w:t>
            </w:r>
          </w:p>
        </w:tc>
      </w:tr>
      <w:tr w:rsidR="00075097" w14:paraId="558CC92B" w14:textId="77777777" w:rsidTr="009F33D3">
        <w:trPr>
          <w:trHeight w:val="255"/>
        </w:trPr>
        <w:tc>
          <w:tcPr>
            <w:tcW w:w="3114" w:type="dxa"/>
            <w:tcBorders>
              <w:top w:val="single" w:sz="4" w:space="0" w:color="auto"/>
              <w:left w:val="single" w:sz="4" w:space="0" w:color="auto"/>
              <w:bottom w:val="single" w:sz="4" w:space="0" w:color="auto"/>
              <w:right w:val="nil"/>
            </w:tcBorders>
            <w:shd w:val="clear" w:color="000000" w:fill="BFBFBF"/>
            <w:noWrap/>
            <w:vAlign w:val="bottom"/>
            <w:hideMark/>
          </w:tcPr>
          <w:p w14:paraId="1F3EFBB6" w14:textId="77777777" w:rsidR="000F0865" w:rsidRPr="000F0865" w:rsidRDefault="00270274" w:rsidP="000F0865">
            <w:pPr>
              <w:rPr>
                <w:rFonts w:cs="Arial"/>
                <w:b/>
                <w:bCs/>
                <w:color w:val="000000"/>
                <w:sz w:val="20"/>
              </w:rPr>
            </w:pPr>
            <w:r w:rsidRPr="000F0865">
              <w:rPr>
                <w:rFonts w:cs="Arial"/>
                <w:b/>
                <w:bCs/>
                <w:color w:val="000000"/>
                <w:sz w:val="20"/>
              </w:rPr>
              <w:t>Additional Cost</w:t>
            </w:r>
          </w:p>
        </w:tc>
        <w:tc>
          <w:tcPr>
            <w:tcW w:w="1417" w:type="dxa"/>
            <w:tcBorders>
              <w:top w:val="single" w:sz="4" w:space="0" w:color="auto"/>
              <w:left w:val="nil"/>
              <w:bottom w:val="single" w:sz="4" w:space="0" w:color="auto"/>
              <w:right w:val="nil"/>
            </w:tcBorders>
            <w:shd w:val="clear" w:color="000000" w:fill="BFBFBF"/>
            <w:noWrap/>
            <w:vAlign w:val="bottom"/>
            <w:hideMark/>
          </w:tcPr>
          <w:p w14:paraId="4E4B3841" w14:textId="77777777" w:rsidR="000F0865" w:rsidRPr="000F0865" w:rsidRDefault="00270274" w:rsidP="000F0865">
            <w:pPr>
              <w:rPr>
                <w:rFonts w:cs="Arial"/>
                <w:b/>
                <w:bCs/>
                <w:color w:val="000000"/>
                <w:sz w:val="20"/>
              </w:rPr>
            </w:pPr>
            <w:r w:rsidRPr="000F0865">
              <w:rPr>
                <w:rFonts w:cs="Arial"/>
                <w:b/>
                <w:bCs/>
                <w:color w:val="000000"/>
                <w:sz w:val="20"/>
              </w:rPr>
              <w:t> </w:t>
            </w:r>
          </w:p>
        </w:tc>
        <w:tc>
          <w:tcPr>
            <w:tcW w:w="1276" w:type="dxa"/>
            <w:tcBorders>
              <w:top w:val="single" w:sz="4" w:space="0" w:color="auto"/>
              <w:left w:val="nil"/>
              <w:bottom w:val="single" w:sz="4" w:space="0" w:color="auto"/>
              <w:right w:val="nil"/>
            </w:tcBorders>
            <w:shd w:val="clear" w:color="000000" w:fill="BFBFBF"/>
            <w:noWrap/>
            <w:vAlign w:val="bottom"/>
            <w:hideMark/>
          </w:tcPr>
          <w:p w14:paraId="36B9E5DD" w14:textId="77777777" w:rsidR="000F0865" w:rsidRPr="000F0865" w:rsidRDefault="00270274" w:rsidP="000F0865">
            <w:pPr>
              <w:rPr>
                <w:rFonts w:cs="Arial"/>
                <w:b/>
                <w:bCs/>
                <w:color w:val="000000"/>
                <w:sz w:val="20"/>
              </w:rPr>
            </w:pPr>
            <w:r w:rsidRPr="000F0865">
              <w:rPr>
                <w:rFonts w:cs="Arial"/>
                <w:b/>
                <w:bCs/>
                <w:color w:val="000000"/>
                <w:sz w:val="20"/>
              </w:rPr>
              <w:t> </w:t>
            </w:r>
          </w:p>
        </w:tc>
        <w:tc>
          <w:tcPr>
            <w:tcW w:w="992" w:type="dxa"/>
            <w:tcBorders>
              <w:top w:val="single" w:sz="4" w:space="0" w:color="auto"/>
              <w:left w:val="nil"/>
              <w:bottom w:val="single" w:sz="4" w:space="0" w:color="auto"/>
              <w:right w:val="nil"/>
            </w:tcBorders>
            <w:shd w:val="clear" w:color="000000" w:fill="BFBFBF"/>
            <w:noWrap/>
            <w:vAlign w:val="bottom"/>
            <w:hideMark/>
          </w:tcPr>
          <w:p w14:paraId="14B4175F" w14:textId="77777777" w:rsidR="000F0865" w:rsidRPr="000F0865" w:rsidRDefault="00270274" w:rsidP="000F0865">
            <w:pPr>
              <w:rPr>
                <w:rFonts w:cs="Arial"/>
                <w:b/>
                <w:bCs/>
                <w:color w:val="000000"/>
                <w:sz w:val="20"/>
              </w:rPr>
            </w:pPr>
            <w:r w:rsidRPr="000F0865">
              <w:rPr>
                <w:rFonts w:cs="Arial"/>
                <w:b/>
                <w:bCs/>
                <w:color w:val="000000"/>
                <w:sz w:val="20"/>
              </w:rPr>
              <w:t> </w:t>
            </w:r>
          </w:p>
        </w:tc>
        <w:tc>
          <w:tcPr>
            <w:tcW w:w="1559" w:type="dxa"/>
            <w:tcBorders>
              <w:top w:val="single" w:sz="4" w:space="0" w:color="auto"/>
              <w:left w:val="nil"/>
              <w:bottom w:val="single" w:sz="4" w:space="0" w:color="auto"/>
              <w:right w:val="single" w:sz="4" w:space="0" w:color="auto"/>
            </w:tcBorders>
            <w:shd w:val="clear" w:color="000000" w:fill="BFBFBF"/>
            <w:noWrap/>
            <w:vAlign w:val="bottom"/>
            <w:hideMark/>
          </w:tcPr>
          <w:p w14:paraId="5BF140F2" w14:textId="77777777" w:rsidR="000F0865" w:rsidRPr="000F0865" w:rsidRDefault="00270274" w:rsidP="000F0865">
            <w:pPr>
              <w:rPr>
                <w:rFonts w:cs="Arial"/>
                <w:b/>
                <w:bCs/>
                <w:color w:val="000000"/>
                <w:sz w:val="20"/>
              </w:rPr>
            </w:pPr>
            <w:r w:rsidRPr="000F0865">
              <w:rPr>
                <w:rFonts w:cs="Arial"/>
                <w:b/>
                <w:bCs/>
                <w:color w:val="000000"/>
                <w:sz w:val="20"/>
              </w:rPr>
              <w:t> </w:t>
            </w:r>
          </w:p>
        </w:tc>
        <w:tc>
          <w:tcPr>
            <w:tcW w:w="1276" w:type="dxa"/>
            <w:tcBorders>
              <w:top w:val="nil"/>
              <w:left w:val="nil"/>
              <w:bottom w:val="single" w:sz="4" w:space="0" w:color="auto"/>
              <w:right w:val="single" w:sz="4" w:space="0" w:color="auto"/>
            </w:tcBorders>
            <w:shd w:val="clear" w:color="000000" w:fill="BFBFBF"/>
            <w:noWrap/>
            <w:vAlign w:val="bottom"/>
            <w:hideMark/>
          </w:tcPr>
          <w:p w14:paraId="51556EE9" w14:textId="77777777" w:rsidR="000F0865" w:rsidRPr="000F0865" w:rsidRDefault="00270274" w:rsidP="00346D96">
            <w:pPr>
              <w:jc w:val="right"/>
              <w:rPr>
                <w:rFonts w:cs="Arial"/>
                <w:b/>
                <w:bCs/>
                <w:color w:val="000000"/>
                <w:sz w:val="20"/>
              </w:rPr>
            </w:pPr>
            <w:r w:rsidRPr="000F0865">
              <w:rPr>
                <w:rFonts w:cs="Arial"/>
                <w:b/>
                <w:bCs/>
                <w:color w:val="000000"/>
                <w:sz w:val="20"/>
              </w:rPr>
              <w:t>0.81</w:t>
            </w:r>
            <w:r>
              <w:rPr>
                <w:rFonts w:cs="Arial"/>
                <w:b/>
                <w:bCs/>
                <w:color w:val="000000"/>
                <w:sz w:val="20"/>
              </w:rPr>
              <w:t>1</w:t>
            </w:r>
            <w:r w:rsidRPr="000F0865">
              <w:rPr>
                <w:rFonts w:cs="Arial"/>
                <w:b/>
                <w:bCs/>
                <w:color w:val="000000"/>
                <w:sz w:val="20"/>
              </w:rPr>
              <w:t xml:space="preserve"> </w:t>
            </w:r>
          </w:p>
        </w:tc>
      </w:tr>
    </w:tbl>
    <w:p w14:paraId="150E5F60" w14:textId="77777777" w:rsidR="008B0F9F" w:rsidRDefault="00042BBA" w:rsidP="00753D6D"/>
    <w:tbl>
      <w:tblPr>
        <w:tblW w:w="9640" w:type="dxa"/>
        <w:tblLook w:val="04A0" w:firstRow="1" w:lastRow="0" w:firstColumn="1" w:lastColumn="0" w:noHBand="0" w:noVBand="1"/>
      </w:tblPr>
      <w:tblGrid>
        <w:gridCol w:w="4280"/>
        <w:gridCol w:w="1340"/>
        <w:gridCol w:w="1340"/>
        <w:gridCol w:w="1340"/>
        <w:gridCol w:w="1340"/>
      </w:tblGrid>
      <w:tr w:rsidR="00075097" w14:paraId="4C4E8C65" w14:textId="77777777" w:rsidTr="000F0865">
        <w:trPr>
          <w:trHeight w:val="510"/>
        </w:trPr>
        <w:tc>
          <w:tcPr>
            <w:tcW w:w="4280"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636D96CD" w14:textId="77777777" w:rsidR="000F0865" w:rsidRPr="000F0865" w:rsidRDefault="00270274" w:rsidP="000F0865">
            <w:pPr>
              <w:jc w:val="center"/>
              <w:rPr>
                <w:rFonts w:cs="Arial"/>
                <w:b/>
                <w:bCs/>
                <w:color w:val="000000"/>
                <w:sz w:val="20"/>
              </w:rPr>
            </w:pPr>
            <w:r w:rsidRPr="000F0865">
              <w:rPr>
                <w:rFonts w:cs="Arial"/>
                <w:b/>
                <w:bCs/>
                <w:color w:val="000000"/>
                <w:sz w:val="20"/>
              </w:rPr>
              <w:t> </w:t>
            </w:r>
          </w:p>
        </w:tc>
        <w:tc>
          <w:tcPr>
            <w:tcW w:w="1340" w:type="dxa"/>
            <w:tcBorders>
              <w:top w:val="single" w:sz="4" w:space="0" w:color="auto"/>
              <w:left w:val="nil"/>
              <w:bottom w:val="single" w:sz="4" w:space="0" w:color="auto"/>
              <w:right w:val="single" w:sz="4" w:space="0" w:color="auto"/>
            </w:tcBorders>
            <w:shd w:val="clear" w:color="000000" w:fill="BFBFBF"/>
            <w:vAlign w:val="bottom"/>
            <w:hideMark/>
          </w:tcPr>
          <w:p w14:paraId="7E3F27C3" w14:textId="77777777" w:rsidR="000F0865" w:rsidRPr="000F0865" w:rsidRDefault="00270274" w:rsidP="000F0865">
            <w:pPr>
              <w:jc w:val="center"/>
              <w:rPr>
                <w:rFonts w:cs="Arial"/>
                <w:b/>
                <w:bCs/>
                <w:color w:val="000000"/>
                <w:sz w:val="20"/>
              </w:rPr>
            </w:pPr>
            <w:r w:rsidRPr="000F0865">
              <w:rPr>
                <w:rFonts w:cs="Arial"/>
                <w:b/>
                <w:bCs/>
                <w:color w:val="000000"/>
                <w:sz w:val="20"/>
              </w:rPr>
              <w:t>Operational Start Date</w:t>
            </w:r>
          </w:p>
        </w:tc>
        <w:tc>
          <w:tcPr>
            <w:tcW w:w="1340" w:type="dxa"/>
            <w:tcBorders>
              <w:top w:val="single" w:sz="4" w:space="0" w:color="auto"/>
              <w:left w:val="nil"/>
              <w:bottom w:val="single" w:sz="4" w:space="0" w:color="auto"/>
              <w:right w:val="single" w:sz="4" w:space="0" w:color="auto"/>
            </w:tcBorders>
            <w:shd w:val="clear" w:color="000000" w:fill="BFBFBF"/>
            <w:vAlign w:val="bottom"/>
            <w:hideMark/>
          </w:tcPr>
          <w:p w14:paraId="57E55641" w14:textId="77777777" w:rsidR="000F0865" w:rsidRPr="000F0865" w:rsidRDefault="00270274" w:rsidP="000F0865">
            <w:pPr>
              <w:jc w:val="center"/>
              <w:rPr>
                <w:rFonts w:cs="Arial"/>
                <w:b/>
                <w:bCs/>
                <w:color w:val="000000"/>
                <w:sz w:val="20"/>
              </w:rPr>
            </w:pPr>
            <w:r w:rsidRPr="000F0865">
              <w:rPr>
                <w:rFonts w:cs="Arial"/>
                <w:b/>
                <w:bCs/>
                <w:color w:val="000000"/>
                <w:sz w:val="20"/>
              </w:rPr>
              <w:t xml:space="preserve">2017/18 </w:t>
            </w:r>
            <w:r w:rsidRPr="000F0865">
              <w:rPr>
                <w:rFonts w:cs="Arial"/>
                <w:b/>
                <w:bCs/>
                <w:color w:val="000000"/>
                <w:sz w:val="20"/>
              </w:rPr>
              <w:br/>
              <w:t>£m</w:t>
            </w:r>
          </w:p>
        </w:tc>
        <w:tc>
          <w:tcPr>
            <w:tcW w:w="1340" w:type="dxa"/>
            <w:tcBorders>
              <w:top w:val="single" w:sz="4" w:space="0" w:color="auto"/>
              <w:left w:val="nil"/>
              <w:bottom w:val="single" w:sz="4" w:space="0" w:color="auto"/>
              <w:right w:val="single" w:sz="4" w:space="0" w:color="auto"/>
            </w:tcBorders>
            <w:shd w:val="clear" w:color="000000" w:fill="BFBFBF"/>
            <w:vAlign w:val="bottom"/>
            <w:hideMark/>
          </w:tcPr>
          <w:p w14:paraId="142AE38B" w14:textId="77777777" w:rsidR="000F0865" w:rsidRPr="000F0865" w:rsidRDefault="00270274" w:rsidP="000F0865">
            <w:pPr>
              <w:jc w:val="center"/>
              <w:rPr>
                <w:rFonts w:cs="Arial"/>
                <w:b/>
                <w:bCs/>
                <w:color w:val="000000"/>
                <w:sz w:val="20"/>
              </w:rPr>
            </w:pPr>
            <w:r w:rsidRPr="000F0865">
              <w:rPr>
                <w:rFonts w:cs="Arial"/>
                <w:b/>
                <w:bCs/>
                <w:color w:val="000000"/>
                <w:sz w:val="20"/>
              </w:rPr>
              <w:t xml:space="preserve">2018/19 </w:t>
            </w:r>
            <w:r w:rsidRPr="000F0865">
              <w:rPr>
                <w:rFonts w:cs="Arial"/>
                <w:b/>
                <w:bCs/>
                <w:color w:val="000000"/>
                <w:sz w:val="20"/>
              </w:rPr>
              <w:br/>
              <w:t>£m</w:t>
            </w:r>
          </w:p>
        </w:tc>
        <w:tc>
          <w:tcPr>
            <w:tcW w:w="1340" w:type="dxa"/>
            <w:tcBorders>
              <w:top w:val="single" w:sz="4" w:space="0" w:color="auto"/>
              <w:left w:val="nil"/>
              <w:bottom w:val="single" w:sz="4" w:space="0" w:color="auto"/>
              <w:right w:val="single" w:sz="4" w:space="0" w:color="auto"/>
            </w:tcBorders>
            <w:shd w:val="clear" w:color="000000" w:fill="BFBFBF"/>
            <w:vAlign w:val="bottom"/>
            <w:hideMark/>
          </w:tcPr>
          <w:p w14:paraId="4C67FC80" w14:textId="77777777" w:rsidR="000F0865" w:rsidRPr="000F0865" w:rsidRDefault="00270274" w:rsidP="000F0865">
            <w:pPr>
              <w:jc w:val="center"/>
              <w:rPr>
                <w:rFonts w:cs="Arial"/>
                <w:b/>
                <w:bCs/>
                <w:color w:val="000000"/>
                <w:sz w:val="20"/>
              </w:rPr>
            </w:pPr>
            <w:r w:rsidRPr="000F0865">
              <w:rPr>
                <w:rFonts w:cs="Arial"/>
                <w:b/>
                <w:bCs/>
                <w:color w:val="000000"/>
                <w:sz w:val="20"/>
              </w:rPr>
              <w:t xml:space="preserve">2019/20 </w:t>
            </w:r>
            <w:r w:rsidRPr="000F0865">
              <w:rPr>
                <w:rFonts w:cs="Arial"/>
                <w:b/>
                <w:bCs/>
                <w:color w:val="000000"/>
                <w:sz w:val="20"/>
              </w:rPr>
              <w:br/>
              <w:t>£m</w:t>
            </w:r>
          </w:p>
        </w:tc>
      </w:tr>
      <w:tr w:rsidR="00075097" w14:paraId="58345E76" w14:textId="77777777" w:rsidTr="000F0865">
        <w:trPr>
          <w:trHeight w:val="255"/>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7C6CECFC" w14:textId="77777777" w:rsidR="000F0865" w:rsidRPr="000F0865" w:rsidRDefault="00270274" w:rsidP="000F0865">
            <w:pPr>
              <w:rPr>
                <w:rFonts w:cs="Arial"/>
                <w:color w:val="000000"/>
                <w:sz w:val="20"/>
              </w:rPr>
            </w:pPr>
            <w:r w:rsidRPr="000F0865">
              <w:rPr>
                <w:rFonts w:cs="Arial"/>
                <w:color w:val="000000"/>
                <w:sz w:val="20"/>
              </w:rPr>
              <w:t>Initial Set Up Costs - ASU and Crisis Unit</w:t>
            </w:r>
          </w:p>
        </w:tc>
        <w:tc>
          <w:tcPr>
            <w:tcW w:w="1340" w:type="dxa"/>
            <w:tcBorders>
              <w:top w:val="nil"/>
              <w:left w:val="nil"/>
              <w:bottom w:val="single" w:sz="4" w:space="0" w:color="auto"/>
              <w:right w:val="single" w:sz="4" w:space="0" w:color="auto"/>
            </w:tcBorders>
            <w:shd w:val="clear" w:color="auto" w:fill="auto"/>
            <w:noWrap/>
            <w:vAlign w:val="bottom"/>
            <w:hideMark/>
          </w:tcPr>
          <w:p w14:paraId="79CC67C5" w14:textId="77777777" w:rsidR="000F0865" w:rsidRPr="000F0865" w:rsidRDefault="00270274" w:rsidP="000F0865">
            <w:pPr>
              <w:jc w:val="center"/>
              <w:rPr>
                <w:rFonts w:cs="Arial"/>
                <w:color w:val="000000"/>
                <w:sz w:val="20"/>
              </w:rPr>
            </w:pPr>
            <w:r w:rsidRPr="000F0865">
              <w:rPr>
                <w:rFonts w:cs="Arial"/>
                <w:color w:val="000000"/>
                <w:sz w:val="20"/>
              </w:rPr>
              <w:t>N/A</w:t>
            </w:r>
          </w:p>
        </w:tc>
        <w:tc>
          <w:tcPr>
            <w:tcW w:w="1340" w:type="dxa"/>
            <w:tcBorders>
              <w:top w:val="nil"/>
              <w:left w:val="nil"/>
              <w:bottom w:val="single" w:sz="4" w:space="0" w:color="auto"/>
              <w:right w:val="single" w:sz="4" w:space="0" w:color="auto"/>
            </w:tcBorders>
            <w:shd w:val="clear" w:color="auto" w:fill="auto"/>
            <w:noWrap/>
            <w:vAlign w:val="bottom"/>
            <w:hideMark/>
          </w:tcPr>
          <w:p w14:paraId="31B5E3E2" w14:textId="77777777" w:rsidR="000F0865" w:rsidRPr="000F0865" w:rsidRDefault="00270274" w:rsidP="000F0865">
            <w:pPr>
              <w:jc w:val="right"/>
              <w:rPr>
                <w:rFonts w:cs="Arial"/>
                <w:color w:val="000000"/>
                <w:sz w:val="20"/>
              </w:rPr>
            </w:pPr>
            <w:r w:rsidRPr="000F0865">
              <w:rPr>
                <w:rFonts w:cs="Arial"/>
                <w:color w:val="000000"/>
                <w:sz w:val="20"/>
              </w:rPr>
              <w:t xml:space="preserve">0.086 </w:t>
            </w:r>
          </w:p>
        </w:tc>
        <w:tc>
          <w:tcPr>
            <w:tcW w:w="1340" w:type="dxa"/>
            <w:tcBorders>
              <w:top w:val="nil"/>
              <w:left w:val="nil"/>
              <w:bottom w:val="single" w:sz="4" w:space="0" w:color="auto"/>
              <w:right w:val="single" w:sz="4" w:space="0" w:color="auto"/>
            </w:tcBorders>
            <w:shd w:val="clear" w:color="auto" w:fill="auto"/>
            <w:noWrap/>
            <w:vAlign w:val="bottom"/>
            <w:hideMark/>
          </w:tcPr>
          <w:p w14:paraId="29F41D8F" w14:textId="77777777" w:rsidR="000F0865" w:rsidRPr="000F0865" w:rsidRDefault="00270274" w:rsidP="000F0865">
            <w:pPr>
              <w:jc w:val="right"/>
              <w:rPr>
                <w:rFonts w:cs="Arial"/>
                <w:color w:val="000000"/>
                <w:sz w:val="20"/>
              </w:rPr>
            </w:pPr>
            <w:r w:rsidRPr="000F0865">
              <w:rPr>
                <w:rFonts w:cs="Arial"/>
                <w:color w:val="000000"/>
                <w:sz w:val="20"/>
              </w:rPr>
              <w:t xml:space="preserve">0.000 </w:t>
            </w:r>
          </w:p>
        </w:tc>
        <w:tc>
          <w:tcPr>
            <w:tcW w:w="1340" w:type="dxa"/>
            <w:tcBorders>
              <w:top w:val="nil"/>
              <w:left w:val="nil"/>
              <w:bottom w:val="single" w:sz="4" w:space="0" w:color="auto"/>
              <w:right w:val="single" w:sz="4" w:space="0" w:color="auto"/>
            </w:tcBorders>
            <w:shd w:val="clear" w:color="auto" w:fill="auto"/>
            <w:noWrap/>
            <w:vAlign w:val="bottom"/>
            <w:hideMark/>
          </w:tcPr>
          <w:p w14:paraId="151EC33B" w14:textId="77777777" w:rsidR="000F0865" w:rsidRPr="000F0865" w:rsidRDefault="00270274" w:rsidP="000F0865">
            <w:pPr>
              <w:jc w:val="right"/>
              <w:rPr>
                <w:rFonts w:cs="Arial"/>
                <w:color w:val="000000"/>
                <w:sz w:val="20"/>
              </w:rPr>
            </w:pPr>
            <w:r w:rsidRPr="000F0865">
              <w:rPr>
                <w:rFonts w:cs="Arial"/>
                <w:color w:val="000000"/>
                <w:sz w:val="20"/>
              </w:rPr>
              <w:t xml:space="preserve">0.000 </w:t>
            </w:r>
          </w:p>
        </w:tc>
      </w:tr>
      <w:tr w:rsidR="00075097" w14:paraId="481CC81A" w14:textId="77777777" w:rsidTr="000F0865">
        <w:trPr>
          <w:trHeight w:val="255"/>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6C18BF43" w14:textId="77777777" w:rsidR="000F0865" w:rsidRPr="000F0865" w:rsidRDefault="00270274" w:rsidP="000F0865">
            <w:pPr>
              <w:rPr>
                <w:rFonts w:cs="Arial"/>
                <w:color w:val="000000"/>
                <w:sz w:val="20"/>
              </w:rPr>
            </w:pPr>
            <w:r w:rsidRPr="000F0865">
              <w:rPr>
                <w:rFonts w:cs="Arial"/>
                <w:color w:val="000000"/>
                <w:sz w:val="20"/>
              </w:rPr>
              <w:t>Adolescent Support Unit</w:t>
            </w:r>
          </w:p>
        </w:tc>
        <w:tc>
          <w:tcPr>
            <w:tcW w:w="1340" w:type="dxa"/>
            <w:tcBorders>
              <w:top w:val="nil"/>
              <w:left w:val="nil"/>
              <w:bottom w:val="single" w:sz="4" w:space="0" w:color="auto"/>
              <w:right w:val="single" w:sz="4" w:space="0" w:color="auto"/>
            </w:tcBorders>
            <w:shd w:val="clear" w:color="auto" w:fill="auto"/>
            <w:noWrap/>
            <w:vAlign w:val="bottom"/>
            <w:hideMark/>
          </w:tcPr>
          <w:p w14:paraId="0C6E6AD9" w14:textId="77777777" w:rsidR="000F0865" w:rsidRPr="000F0865" w:rsidRDefault="00270274" w:rsidP="000F0865">
            <w:pPr>
              <w:jc w:val="center"/>
              <w:rPr>
                <w:rFonts w:cs="Arial"/>
                <w:color w:val="000000"/>
                <w:sz w:val="20"/>
              </w:rPr>
            </w:pPr>
            <w:r w:rsidRPr="000F0865">
              <w:rPr>
                <w:rFonts w:cs="Arial"/>
                <w:color w:val="000000"/>
                <w:sz w:val="20"/>
              </w:rPr>
              <w:t>Dec-17</w:t>
            </w:r>
          </w:p>
        </w:tc>
        <w:tc>
          <w:tcPr>
            <w:tcW w:w="1340" w:type="dxa"/>
            <w:tcBorders>
              <w:top w:val="nil"/>
              <w:left w:val="nil"/>
              <w:bottom w:val="single" w:sz="4" w:space="0" w:color="auto"/>
              <w:right w:val="single" w:sz="4" w:space="0" w:color="auto"/>
            </w:tcBorders>
            <w:shd w:val="clear" w:color="auto" w:fill="auto"/>
            <w:noWrap/>
            <w:vAlign w:val="bottom"/>
            <w:hideMark/>
          </w:tcPr>
          <w:p w14:paraId="0305C3E7" w14:textId="77777777" w:rsidR="000F0865" w:rsidRPr="000F0865" w:rsidRDefault="00270274" w:rsidP="000F0865">
            <w:pPr>
              <w:jc w:val="right"/>
              <w:rPr>
                <w:rFonts w:cs="Arial"/>
                <w:color w:val="000000"/>
                <w:sz w:val="20"/>
              </w:rPr>
            </w:pPr>
            <w:r w:rsidRPr="000F0865">
              <w:rPr>
                <w:rFonts w:cs="Arial"/>
                <w:color w:val="000000"/>
                <w:sz w:val="20"/>
              </w:rPr>
              <w:t xml:space="preserve">0.141 </w:t>
            </w:r>
          </w:p>
        </w:tc>
        <w:tc>
          <w:tcPr>
            <w:tcW w:w="1340" w:type="dxa"/>
            <w:tcBorders>
              <w:top w:val="nil"/>
              <w:left w:val="nil"/>
              <w:bottom w:val="single" w:sz="4" w:space="0" w:color="auto"/>
              <w:right w:val="single" w:sz="4" w:space="0" w:color="auto"/>
            </w:tcBorders>
            <w:shd w:val="clear" w:color="auto" w:fill="auto"/>
            <w:noWrap/>
            <w:vAlign w:val="bottom"/>
            <w:hideMark/>
          </w:tcPr>
          <w:p w14:paraId="0F3929D2" w14:textId="77777777" w:rsidR="000F0865" w:rsidRPr="000F0865" w:rsidRDefault="00270274" w:rsidP="000F0865">
            <w:pPr>
              <w:jc w:val="right"/>
              <w:rPr>
                <w:rFonts w:cs="Arial"/>
                <w:color w:val="000000"/>
                <w:sz w:val="20"/>
              </w:rPr>
            </w:pPr>
            <w:r w:rsidRPr="000F0865">
              <w:rPr>
                <w:rFonts w:cs="Arial"/>
                <w:color w:val="000000"/>
                <w:sz w:val="20"/>
              </w:rPr>
              <w:t xml:space="preserve">0.423 </w:t>
            </w:r>
          </w:p>
        </w:tc>
        <w:tc>
          <w:tcPr>
            <w:tcW w:w="1340" w:type="dxa"/>
            <w:tcBorders>
              <w:top w:val="nil"/>
              <w:left w:val="nil"/>
              <w:bottom w:val="single" w:sz="4" w:space="0" w:color="auto"/>
              <w:right w:val="single" w:sz="4" w:space="0" w:color="auto"/>
            </w:tcBorders>
            <w:shd w:val="clear" w:color="auto" w:fill="auto"/>
            <w:noWrap/>
            <w:vAlign w:val="bottom"/>
            <w:hideMark/>
          </w:tcPr>
          <w:p w14:paraId="1F0619E9" w14:textId="77777777" w:rsidR="000F0865" w:rsidRPr="000F0865" w:rsidRDefault="00270274" w:rsidP="000F0865">
            <w:pPr>
              <w:jc w:val="right"/>
              <w:rPr>
                <w:rFonts w:cs="Arial"/>
                <w:color w:val="000000"/>
                <w:sz w:val="20"/>
              </w:rPr>
            </w:pPr>
            <w:r w:rsidRPr="000F0865">
              <w:rPr>
                <w:rFonts w:cs="Arial"/>
                <w:color w:val="000000"/>
                <w:sz w:val="20"/>
              </w:rPr>
              <w:t xml:space="preserve">0.423 </w:t>
            </w:r>
          </w:p>
        </w:tc>
      </w:tr>
      <w:tr w:rsidR="00075097" w14:paraId="6BAEADBB" w14:textId="77777777" w:rsidTr="000F0865">
        <w:trPr>
          <w:trHeight w:val="255"/>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133559BA" w14:textId="77777777" w:rsidR="000F0865" w:rsidRPr="000F0865" w:rsidRDefault="00270274" w:rsidP="000F0865">
            <w:pPr>
              <w:rPr>
                <w:rFonts w:cs="Arial"/>
                <w:color w:val="000000"/>
                <w:sz w:val="20"/>
              </w:rPr>
            </w:pPr>
            <w:r w:rsidRPr="000F0865">
              <w:rPr>
                <w:rFonts w:cs="Arial"/>
                <w:color w:val="000000"/>
                <w:sz w:val="20"/>
              </w:rPr>
              <w:t>Extended Outreach Service</w:t>
            </w:r>
          </w:p>
        </w:tc>
        <w:tc>
          <w:tcPr>
            <w:tcW w:w="1340" w:type="dxa"/>
            <w:tcBorders>
              <w:top w:val="nil"/>
              <w:left w:val="nil"/>
              <w:bottom w:val="single" w:sz="4" w:space="0" w:color="auto"/>
              <w:right w:val="single" w:sz="4" w:space="0" w:color="auto"/>
            </w:tcBorders>
            <w:shd w:val="clear" w:color="auto" w:fill="auto"/>
            <w:noWrap/>
            <w:vAlign w:val="bottom"/>
            <w:hideMark/>
          </w:tcPr>
          <w:p w14:paraId="00BFE49B" w14:textId="77777777" w:rsidR="000F0865" w:rsidRPr="000F0865" w:rsidRDefault="00270274" w:rsidP="000F0865">
            <w:pPr>
              <w:jc w:val="center"/>
              <w:rPr>
                <w:rFonts w:cs="Arial"/>
                <w:color w:val="000000"/>
                <w:sz w:val="20"/>
              </w:rPr>
            </w:pPr>
            <w:r w:rsidRPr="000F0865">
              <w:rPr>
                <w:rFonts w:cs="Arial"/>
                <w:color w:val="000000"/>
                <w:sz w:val="20"/>
              </w:rPr>
              <w:t>Dec-17</w:t>
            </w:r>
          </w:p>
        </w:tc>
        <w:tc>
          <w:tcPr>
            <w:tcW w:w="1340" w:type="dxa"/>
            <w:tcBorders>
              <w:top w:val="nil"/>
              <w:left w:val="nil"/>
              <w:bottom w:val="single" w:sz="4" w:space="0" w:color="auto"/>
              <w:right w:val="single" w:sz="4" w:space="0" w:color="auto"/>
            </w:tcBorders>
            <w:shd w:val="clear" w:color="auto" w:fill="auto"/>
            <w:noWrap/>
            <w:vAlign w:val="bottom"/>
            <w:hideMark/>
          </w:tcPr>
          <w:p w14:paraId="5CB1ABFB" w14:textId="77777777" w:rsidR="000F0865" w:rsidRPr="000F0865" w:rsidRDefault="00270274" w:rsidP="000F0865">
            <w:pPr>
              <w:jc w:val="right"/>
              <w:rPr>
                <w:rFonts w:cs="Arial"/>
                <w:color w:val="000000"/>
                <w:sz w:val="20"/>
              </w:rPr>
            </w:pPr>
            <w:r w:rsidRPr="000F0865">
              <w:rPr>
                <w:rFonts w:cs="Arial"/>
                <w:color w:val="000000"/>
                <w:sz w:val="20"/>
              </w:rPr>
              <w:t xml:space="preserve">0.013 </w:t>
            </w:r>
          </w:p>
        </w:tc>
        <w:tc>
          <w:tcPr>
            <w:tcW w:w="1340" w:type="dxa"/>
            <w:tcBorders>
              <w:top w:val="nil"/>
              <w:left w:val="nil"/>
              <w:bottom w:val="single" w:sz="4" w:space="0" w:color="auto"/>
              <w:right w:val="single" w:sz="4" w:space="0" w:color="auto"/>
            </w:tcBorders>
            <w:shd w:val="clear" w:color="auto" w:fill="auto"/>
            <w:noWrap/>
            <w:vAlign w:val="bottom"/>
            <w:hideMark/>
          </w:tcPr>
          <w:p w14:paraId="271F9354" w14:textId="77777777" w:rsidR="000F0865" w:rsidRPr="000F0865" w:rsidRDefault="00270274" w:rsidP="000F0865">
            <w:pPr>
              <w:jc w:val="right"/>
              <w:rPr>
                <w:rFonts w:cs="Arial"/>
                <w:color w:val="000000"/>
                <w:sz w:val="20"/>
              </w:rPr>
            </w:pPr>
            <w:r w:rsidRPr="000F0865">
              <w:rPr>
                <w:rFonts w:cs="Arial"/>
                <w:color w:val="000000"/>
                <w:sz w:val="20"/>
              </w:rPr>
              <w:t xml:space="preserve">0.017 </w:t>
            </w:r>
          </w:p>
        </w:tc>
        <w:tc>
          <w:tcPr>
            <w:tcW w:w="1340" w:type="dxa"/>
            <w:tcBorders>
              <w:top w:val="nil"/>
              <w:left w:val="nil"/>
              <w:bottom w:val="single" w:sz="4" w:space="0" w:color="auto"/>
              <w:right w:val="single" w:sz="4" w:space="0" w:color="auto"/>
            </w:tcBorders>
            <w:shd w:val="clear" w:color="auto" w:fill="auto"/>
            <w:noWrap/>
            <w:vAlign w:val="bottom"/>
            <w:hideMark/>
          </w:tcPr>
          <w:p w14:paraId="0163C5FA" w14:textId="77777777" w:rsidR="000F0865" w:rsidRPr="000F0865" w:rsidRDefault="00270274" w:rsidP="000F0865">
            <w:pPr>
              <w:jc w:val="right"/>
              <w:rPr>
                <w:rFonts w:cs="Arial"/>
                <w:color w:val="000000"/>
                <w:sz w:val="20"/>
              </w:rPr>
            </w:pPr>
            <w:r w:rsidRPr="000F0865">
              <w:rPr>
                <w:rFonts w:cs="Arial"/>
                <w:color w:val="000000"/>
                <w:sz w:val="20"/>
              </w:rPr>
              <w:t xml:space="preserve">0.017 </w:t>
            </w:r>
          </w:p>
        </w:tc>
      </w:tr>
      <w:tr w:rsidR="00075097" w14:paraId="04439CE9" w14:textId="77777777" w:rsidTr="000F0865">
        <w:trPr>
          <w:trHeight w:val="255"/>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274BDBB1" w14:textId="77777777" w:rsidR="000F0865" w:rsidRPr="000F0865" w:rsidRDefault="00270274" w:rsidP="000F0865">
            <w:pPr>
              <w:rPr>
                <w:rFonts w:cs="Arial"/>
                <w:color w:val="000000"/>
                <w:sz w:val="20"/>
              </w:rPr>
            </w:pPr>
            <w:r w:rsidRPr="000F0865">
              <w:rPr>
                <w:rFonts w:cs="Arial"/>
                <w:color w:val="000000"/>
                <w:sz w:val="20"/>
              </w:rPr>
              <w:t>Crisis Unit</w:t>
            </w:r>
          </w:p>
        </w:tc>
        <w:tc>
          <w:tcPr>
            <w:tcW w:w="1340" w:type="dxa"/>
            <w:tcBorders>
              <w:top w:val="nil"/>
              <w:left w:val="nil"/>
              <w:bottom w:val="single" w:sz="4" w:space="0" w:color="auto"/>
              <w:right w:val="single" w:sz="4" w:space="0" w:color="auto"/>
            </w:tcBorders>
            <w:shd w:val="clear" w:color="auto" w:fill="auto"/>
            <w:noWrap/>
            <w:vAlign w:val="bottom"/>
            <w:hideMark/>
          </w:tcPr>
          <w:p w14:paraId="2437E4F4" w14:textId="77777777" w:rsidR="000F0865" w:rsidRPr="000F0865" w:rsidRDefault="00270274" w:rsidP="000F0865">
            <w:pPr>
              <w:jc w:val="center"/>
              <w:rPr>
                <w:rFonts w:cs="Arial"/>
                <w:color w:val="000000"/>
                <w:sz w:val="20"/>
              </w:rPr>
            </w:pPr>
            <w:r w:rsidRPr="000F0865">
              <w:rPr>
                <w:rFonts w:cs="Arial"/>
                <w:color w:val="000000"/>
                <w:sz w:val="20"/>
              </w:rPr>
              <w:t>Apr-18</w:t>
            </w:r>
          </w:p>
        </w:tc>
        <w:tc>
          <w:tcPr>
            <w:tcW w:w="1340" w:type="dxa"/>
            <w:tcBorders>
              <w:top w:val="nil"/>
              <w:left w:val="nil"/>
              <w:bottom w:val="single" w:sz="4" w:space="0" w:color="auto"/>
              <w:right w:val="single" w:sz="4" w:space="0" w:color="auto"/>
            </w:tcBorders>
            <w:shd w:val="clear" w:color="auto" w:fill="auto"/>
            <w:noWrap/>
            <w:vAlign w:val="bottom"/>
            <w:hideMark/>
          </w:tcPr>
          <w:p w14:paraId="0F571B57" w14:textId="77777777" w:rsidR="000F0865" w:rsidRPr="000F0865" w:rsidRDefault="00270274" w:rsidP="000F0865">
            <w:pPr>
              <w:jc w:val="right"/>
              <w:rPr>
                <w:rFonts w:cs="Arial"/>
                <w:color w:val="000000"/>
                <w:sz w:val="20"/>
              </w:rPr>
            </w:pPr>
            <w:r w:rsidRPr="000F0865">
              <w:rPr>
                <w:rFonts w:cs="Arial"/>
                <w:color w:val="000000"/>
                <w:sz w:val="20"/>
              </w:rPr>
              <w:t xml:space="preserve">0.000 </w:t>
            </w:r>
          </w:p>
        </w:tc>
        <w:tc>
          <w:tcPr>
            <w:tcW w:w="1340" w:type="dxa"/>
            <w:tcBorders>
              <w:top w:val="nil"/>
              <w:left w:val="nil"/>
              <w:bottom w:val="single" w:sz="4" w:space="0" w:color="auto"/>
              <w:right w:val="single" w:sz="4" w:space="0" w:color="auto"/>
            </w:tcBorders>
            <w:shd w:val="clear" w:color="auto" w:fill="auto"/>
            <w:noWrap/>
            <w:vAlign w:val="bottom"/>
            <w:hideMark/>
          </w:tcPr>
          <w:p w14:paraId="1BC0A303" w14:textId="77777777" w:rsidR="000F0865" w:rsidRPr="000F0865" w:rsidRDefault="00270274" w:rsidP="000F0865">
            <w:pPr>
              <w:jc w:val="right"/>
              <w:rPr>
                <w:rFonts w:cs="Arial"/>
                <w:color w:val="000000"/>
                <w:sz w:val="20"/>
              </w:rPr>
            </w:pPr>
            <w:r w:rsidRPr="000F0865">
              <w:rPr>
                <w:rFonts w:cs="Arial"/>
                <w:color w:val="000000"/>
                <w:sz w:val="20"/>
              </w:rPr>
              <w:t xml:space="preserve">0.292 </w:t>
            </w:r>
          </w:p>
        </w:tc>
        <w:tc>
          <w:tcPr>
            <w:tcW w:w="1340" w:type="dxa"/>
            <w:tcBorders>
              <w:top w:val="nil"/>
              <w:left w:val="nil"/>
              <w:bottom w:val="single" w:sz="4" w:space="0" w:color="auto"/>
              <w:right w:val="single" w:sz="4" w:space="0" w:color="auto"/>
            </w:tcBorders>
            <w:shd w:val="clear" w:color="auto" w:fill="auto"/>
            <w:noWrap/>
            <w:vAlign w:val="bottom"/>
            <w:hideMark/>
          </w:tcPr>
          <w:p w14:paraId="483A6BBA" w14:textId="77777777" w:rsidR="000F0865" w:rsidRPr="000F0865" w:rsidRDefault="00270274" w:rsidP="000F0865">
            <w:pPr>
              <w:jc w:val="right"/>
              <w:rPr>
                <w:rFonts w:cs="Arial"/>
                <w:color w:val="000000"/>
                <w:sz w:val="20"/>
              </w:rPr>
            </w:pPr>
            <w:r w:rsidRPr="000F0865">
              <w:rPr>
                <w:rFonts w:cs="Arial"/>
                <w:color w:val="000000"/>
                <w:sz w:val="20"/>
              </w:rPr>
              <w:t xml:space="preserve">0.292 </w:t>
            </w:r>
          </w:p>
        </w:tc>
      </w:tr>
      <w:tr w:rsidR="00075097" w14:paraId="35AC43EB" w14:textId="77777777" w:rsidTr="000F0865">
        <w:trPr>
          <w:trHeight w:val="255"/>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30E73E0F" w14:textId="77777777" w:rsidR="000F0865" w:rsidRPr="000F0865" w:rsidRDefault="00270274" w:rsidP="000F0865">
            <w:pPr>
              <w:rPr>
                <w:rFonts w:cs="Arial"/>
                <w:color w:val="000000"/>
                <w:sz w:val="20"/>
              </w:rPr>
            </w:pPr>
            <w:r w:rsidRPr="000F0865">
              <w:rPr>
                <w:rFonts w:cs="Arial"/>
                <w:color w:val="000000"/>
                <w:sz w:val="20"/>
              </w:rPr>
              <w:t>Management and Business Support</w:t>
            </w:r>
          </w:p>
        </w:tc>
        <w:tc>
          <w:tcPr>
            <w:tcW w:w="1340" w:type="dxa"/>
            <w:tcBorders>
              <w:top w:val="nil"/>
              <w:left w:val="nil"/>
              <w:bottom w:val="single" w:sz="4" w:space="0" w:color="auto"/>
              <w:right w:val="single" w:sz="4" w:space="0" w:color="auto"/>
            </w:tcBorders>
            <w:shd w:val="clear" w:color="auto" w:fill="auto"/>
            <w:noWrap/>
            <w:vAlign w:val="bottom"/>
            <w:hideMark/>
          </w:tcPr>
          <w:p w14:paraId="32448DC2" w14:textId="77777777" w:rsidR="000F0865" w:rsidRPr="000F0865" w:rsidRDefault="00270274" w:rsidP="000F0865">
            <w:pPr>
              <w:jc w:val="center"/>
              <w:rPr>
                <w:rFonts w:cs="Arial"/>
                <w:color w:val="000000"/>
                <w:sz w:val="20"/>
              </w:rPr>
            </w:pPr>
            <w:r w:rsidRPr="000F0865">
              <w:rPr>
                <w:rFonts w:cs="Arial"/>
                <w:color w:val="000000"/>
                <w:sz w:val="20"/>
              </w:rPr>
              <w:t>Dec-17</w:t>
            </w:r>
          </w:p>
        </w:tc>
        <w:tc>
          <w:tcPr>
            <w:tcW w:w="1340" w:type="dxa"/>
            <w:tcBorders>
              <w:top w:val="nil"/>
              <w:left w:val="nil"/>
              <w:bottom w:val="single" w:sz="4" w:space="0" w:color="auto"/>
              <w:right w:val="single" w:sz="4" w:space="0" w:color="auto"/>
            </w:tcBorders>
            <w:shd w:val="clear" w:color="auto" w:fill="auto"/>
            <w:noWrap/>
            <w:vAlign w:val="bottom"/>
            <w:hideMark/>
          </w:tcPr>
          <w:p w14:paraId="0AFF09D2" w14:textId="77777777" w:rsidR="000F0865" w:rsidRPr="000F0865" w:rsidRDefault="00270274" w:rsidP="000F0865">
            <w:pPr>
              <w:jc w:val="right"/>
              <w:rPr>
                <w:rFonts w:cs="Arial"/>
                <w:color w:val="000000"/>
                <w:sz w:val="20"/>
              </w:rPr>
            </w:pPr>
            <w:r w:rsidRPr="000F0865">
              <w:rPr>
                <w:rFonts w:cs="Arial"/>
                <w:color w:val="000000"/>
                <w:sz w:val="20"/>
              </w:rPr>
              <w:t xml:space="preserve">0.026 </w:t>
            </w:r>
          </w:p>
        </w:tc>
        <w:tc>
          <w:tcPr>
            <w:tcW w:w="1340" w:type="dxa"/>
            <w:tcBorders>
              <w:top w:val="nil"/>
              <w:left w:val="nil"/>
              <w:bottom w:val="single" w:sz="4" w:space="0" w:color="auto"/>
              <w:right w:val="single" w:sz="4" w:space="0" w:color="auto"/>
            </w:tcBorders>
            <w:shd w:val="clear" w:color="auto" w:fill="auto"/>
            <w:noWrap/>
            <w:vAlign w:val="bottom"/>
            <w:hideMark/>
          </w:tcPr>
          <w:p w14:paraId="7528758F" w14:textId="77777777" w:rsidR="000F0865" w:rsidRPr="000F0865" w:rsidRDefault="00270274" w:rsidP="000F0865">
            <w:pPr>
              <w:jc w:val="right"/>
              <w:rPr>
                <w:rFonts w:cs="Arial"/>
                <w:color w:val="000000"/>
                <w:sz w:val="20"/>
              </w:rPr>
            </w:pPr>
            <w:r w:rsidRPr="000F0865">
              <w:rPr>
                <w:rFonts w:cs="Arial"/>
                <w:color w:val="000000"/>
                <w:sz w:val="20"/>
              </w:rPr>
              <w:t xml:space="preserve">0.079 </w:t>
            </w:r>
          </w:p>
        </w:tc>
        <w:tc>
          <w:tcPr>
            <w:tcW w:w="1340" w:type="dxa"/>
            <w:tcBorders>
              <w:top w:val="nil"/>
              <w:left w:val="nil"/>
              <w:bottom w:val="single" w:sz="4" w:space="0" w:color="auto"/>
              <w:right w:val="single" w:sz="4" w:space="0" w:color="auto"/>
            </w:tcBorders>
            <w:shd w:val="clear" w:color="auto" w:fill="auto"/>
            <w:noWrap/>
            <w:vAlign w:val="bottom"/>
            <w:hideMark/>
          </w:tcPr>
          <w:p w14:paraId="2C32D89A" w14:textId="77777777" w:rsidR="000F0865" w:rsidRPr="000F0865" w:rsidRDefault="00270274" w:rsidP="000F0865">
            <w:pPr>
              <w:jc w:val="right"/>
              <w:rPr>
                <w:rFonts w:cs="Arial"/>
                <w:color w:val="000000"/>
                <w:sz w:val="20"/>
              </w:rPr>
            </w:pPr>
            <w:r w:rsidRPr="000F0865">
              <w:rPr>
                <w:rFonts w:cs="Arial"/>
                <w:color w:val="000000"/>
                <w:sz w:val="20"/>
              </w:rPr>
              <w:t xml:space="preserve">0.079 </w:t>
            </w:r>
          </w:p>
        </w:tc>
      </w:tr>
      <w:tr w:rsidR="00075097" w14:paraId="39260310" w14:textId="77777777" w:rsidTr="000F0865">
        <w:trPr>
          <w:trHeight w:val="255"/>
        </w:trPr>
        <w:tc>
          <w:tcPr>
            <w:tcW w:w="4280" w:type="dxa"/>
            <w:tcBorders>
              <w:top w:val="nil"/>
              <w:left w:val="single" w:sz="4" w:space="0" w:color="auto"/>
              <w:bottom w:val="single" w:sz="4" w:space="0" w:color="auto"/>
              <w:right w:val="single" w:sz="4" w:space="0" w:color="auto"/>
            </w:tcBorders>
            <w:shd w:val="clear" w:color="000000" w:fill="BFBFBF"/>
            <w:noWrap/>
            <w:vAlign w:val="bottom"/>
            <w:hideMark/>
          </w:tcPr>
          <w:p w14:paraId="2CB65C26" w14:textId="77777777" w:rsidR="000F0865" w:rsidRPr="000F0865" w:rsidRDefault="00270274" w:rsidP="000F0865">
            <w:pPr>
              <w:rPr>
                <w:rFonts w:cs="Arial"/>
                <w:b/>
                <w:bCs/>
                <w:color w:val="000000"/>
                <w:sz w:val="20"/>
              </w:rPr>
            </w:pPr>
            <w:r w:rsidRPr="000F0865">
              <w:rPr>
                <w:rFonts w:cs="Arial"/>
                <w:b/>
                <w:bCs/>
                <w:color w:val="000000"/>
                <w:sz w:val="20"/>
              </w:rPr>
              <w:t>Total</w:t>
            </w:r>
          </w:p>
        </w:tc>
        <w:tc>
          <w:tcPr>
            <w:tcW w:w="1340" w:type="dxa"/>
            <w:tcBorders>
              <w:top w:val="nil"/>
              <w:left w:val="nil"/>
              <w:bottom w:val="single" w:sz="4" w:space="0" w:color="auto"/>
              <w:right w:val="single" w:sz="4" w:space="0" w:color="auto"/>
            </w:tcBorders>
            <w:shd w:val="clear" w:color="000000" w:fill="BFBFBF"/>
            <w:noWrap/>
            <w:vAlign w:val="bottom"/>
            <w:hideMark/>
          </w:tcPr>
          <w:p w14:paraId="6AF9E61C" w14:textId="77777777" w:rsidR="000F0865" w:rsidRPr="000F0865" w:rsidRDefault="00270274" w:rsidP="000F0865">
            <w:pPr>
              <w:rPr>
                <w:rFonts w:cs="Arial"/>
                <w:b/>
                <w:bCs/>
                <w:color w:val="000000"/>
                <w:sz w:val="20"/>
              </w:rPr>
            </w:pPr>
            <w:r w:rsidRPr="000F0865">
              <w:rPr>
                <w:rFonts w:cs="Arial"/>
                <w:b/>
                <w:bCs/>
                <w:color w:val="000000"/>
                <w:sz w:val="20"/>
              </w:rPr>
              <w:t> </w:t>
            </w:r>
          </w:p>
        </w:tc>
        <w:tc>
          <w:tcPr>
            <w:tcW w:w="1340" w:type="dxa"/>
            <w:tcBorders>
              <w:top w:val="nil"/>
              <w:left w:val="nil"/>
              <w:bottom w:val="single" w:sz="4" w:space="0" w:color="auto"/>
              <w:right w:val="single" w:sz="4" w:space="0" w:color="auto"/>
            </w:tcBorders>
            <w:shd w:val="clear" w:color="000000" w:fill="BFBFBF"/>
            <w:noWrap/>
            <w:vAlign w:val="bottom"/>
            <w:hideMark/>
          </w:tcPr>
          <w:p w14:paraId="0FFDA4E1" w14:textId="77777777" w:rsidR="000F0865" w:rsidRPr="000F0865" w:rsidRDefault="00270274" w:rsidP="008B0F9F">
            <w:pPr>
              <w:jc w:val="right"/>
              <w:rPr>
                <w:rFonts w:cs="Arial"/>
                <w:b/>
                <w:bCs/>
                <w:color w:val="000000"/>
                <w:sz w:val="20"/>
              </w:rPr>
            </w:pPr>
            <w:r w:rsidRPr="000F0865">
              <w:rPr>
                <w:rFonts w:cs="Arial"/>
                <w:b/>
                <w:bCs/>
                <w:color w:val="000000"/>
                <w:sz w:val="20"/>
              </w:rPr>
              <w:t>0.26</w:t>
            </w:r>
            <w:r>
              <w:rPr>
                <w:rFonts w:cs="Arial"/>
                <w:b/>
                <w:bCs/>
                <w:color w:val="000000"/>
                <w:sz w:val="20"/>
              </w:rPr>
              <w:t>6</w:t>
            </w:r>
            <w:r w:rsidRPr="000F0865">
              <w:rPr>
                <w:rFonts w:cs="Arial"/>
                <w:b/>
                <w:bCs/>
                <w:color w:val="000000"/>
                <w:sz w:val="20"/>
              </w:rPr>
              <w:t xml:space="preserve"> </w:t>
            </w:r>
          </w:p>
        </w:tc>
        <w:tc>
          <w:tcPr>
            <w:tcW w:w="1340" w:type="dxa"/>
            <w:tcBorders>
              <w:top w:val="nil"/>
              <w:left w:val="nil"/>
              <w:bottom w:val="single" w:sz="4" w:space="0" w:color="auto"/>
              <w:right w:val="single" w:sz="4" w:space="0" w:color="auto"/>
            </w:tcBorders>
            <w:shd w:val="clear" w:color="000000" w:fill="BFBFBF"/>
            <w:noWrap/>
            <w:vAlign w:val="bottom"/>
            <w:hideMark/>
          </w:tcPr>
          <w:p w14:paraId="10AB0403" w14:textId="77777777" w:rsidR="000F0865" w:rsidRPr="000F0865" w:rsidRDefault="00270274" w:rsidP="008B0F9F">
            <w:pPr>
              <w:jc w:val="right"/>
              <w:rPr>
                <w:rFonts w:cs="Arial"/>
                <w:b/>
                <w:bCs/>
                <w:color w:val="000000"/>
                <w:sz w:val="20"/>
              </w:rPr>
            </w:pPr>
            <w:r w:rsidRPr="000F0865">
              <w:rPr>
                <w:rFonts w:cs="Arial"/>
                <w:b/>
                <w:bCs/>
                <w:color w:val="000000"/>
                <w:sz w:val="20"/>
              </w:rPr>
              <w:t>0.81</w:t>
            </w:r>
            <w:r>
              <w:rPr>
                <w:rFonts w:cs="Arial"/>
                <w:b/>
                <w:bCs/>
                <w:color w:val="000000"/>
                <w:sz w:val="20"/>
              </w:rPr>
              <w:t>1</w:t>
            </w:r>
            <w:r w:rsidRPr="000F0865">
              <w:rPr>
                <w:rFonts w:cs="Arial"/>
                <w:b/>
                <w:bCs/>
                <w:color w:val="000000"/>
                <w:sz w:val="20"/>
              </w:rPr>
              <w:t xml:space="preserve"> </w:t>
            </w:r>
          </w:p>
        </w:tc>
        <w:tc>
          <w:tcPr>
            <w:tcW w:w="1340" w:type="dxa"/>
            <w:tcBorders>
              <w:top w:val="nil"/>
              <w:left w:val="nil"/>
              <w:bottom w:val="single" w:sz="4" w:space="0" w:color="auto"/>
              <w:right w:val="single" w:sz="4" w:space="0" w:color="auto"/>
            </w:tcBorders>
            <w:shd w:val="clear" w:color="000000" w:fill="BFBFBF"/>
            <w:noWrap/>
            <w:vAlign w:val="bottom"/>
            <w:hideMark/>
          </w:tcPr>
          <w:p w14:paraId="0BC5AA61" w14:textId="77777777" w:rsidR="000F0865" w:rsidRPr="000F0865" w:rsidRDefault="00270274" w:rsidP="000F0865">
            <w:pPr>
              <w:jc w:val="right"/>
              <w:rPr>
                <w:rFonts w:cs="Arial"/>
                <w:b/>
                <w:bCs/>
                <w:color w:val="000000"/>
                <w:sz w:val="20"/>
              </w:rPr>
            </w:pPr>
            <w:r>
              <w:rPr>
                <w:rFonts w:cs="Arial"/>
                <w:b/>
                <w:bCs/>
                <w:color w:val="000000"/>
                <w:sz w:val="20"/>
              </w:rPr>
              <w:t>0.811</w:t>
            </w:r>
            <w:r w:rsidRPr="000F0865">
              <w:rPr>
                <w:rFonts w:cs="Arial"/>
                <w:b/>
                <w:bCs/>
                <w:color w:val="000000"/>
                <w:sz w:val="20"/>
              </w:rPr>
              <w:t xml:space="preserve"> </w:t>
            </w:r>
          </w:p>
        </w:tc>
      </w:tr>
    </w:tbl>
    <w:p w14:paraId="02503CA8" w14:textId="77777777" w:rsidR="00753D6D" w:rsidRPr="00C055A0" w:rsidRDefault="00042BBA" w:rsidP="00753D6D"/>
    <w:p w14:paraId="5B33A337" w14:textId="77777777" w:rsidR="00C055A0" w:rsidRDefault="00270274" w:rsidP="005E7868">
      <w:pPr>
        <w:jc w:val="both"/>
      </w:pPr>
      <w:r w:rsidRPr="00C055A0">
        <w:t>Based on other models of best practice it is anticipated that the ASU will support a minimum of 60 adolescents per annum at an average support cost per adolescent</w:t>
      </w:r>
      <w:r>
        <w:t xml:space="preserve"> of £7,050 per annum whilst t</w:t>
      </w:r>
      <w:r w:rsidRPr="00C055A0">
        <w:t xml:space="preserve">he extended outreach team will support 168 CYP per annum at an average cost </w:t>
      </w:r>
      <w:r w:rsidRPr="00964452">
        <w:t>of £2,202 per CYP per annum.</w:t>
      </w:r>
      <w:r w:rsidRPr="00C055A0">
        <w:t xml:space="preserve">  </w:t>
      </w:r>
    </w:p>
    <w:p w14:paraId="670958EF" w14:textId="77777777" w:rsidR="00C055A0" w:rsidRDefault="00042BBA" w:rsidP="005E7868">
      <w:pPr>
        <w:jc w:val="both"/>
      </w:pPr>
    </w:p>
    <w:p w14:paraId="6CA5C581" w14:textId="77777777" w:rsidR="00C055A0" w:rsidRPr="00C055A0" w:rsidRDefault="00270274" w:rsidP="005E7868">
      <w:pPr>
        <w:jc w:val="both"/>
      </w:pPr>
      <w:r w:rsidRPr="00C055A0">
        <w:t>It is anticipated that the ASU and Outreach Service will impact on Children's Social Care spend in a number of ways.  The service will generate savings by reducing numbers coming into care and the cost associated with this, avoiding/de</w:t>
      </w:r>
      <w:r>
        <w:t>-</w:t>
      </w:r>
      <w:r w:rsidRPr="00C055A0">
        <w:t>escalating need and</w:t>
      </w:r>
      <w:r>
        <w:t xml:space="preserve"> preventing </w:t>
      </w:r>
      <w:r w:rsidRPr="00C055A0">
        <w:t>placement breakdown.  The crisis unit is not expected to generate cashable savings.</w:t>
      </w:r>
    </w:p>
    <w:p w14:paraId="2E96C94B" w14:textId="77777777" w:rsidR="00C055A0" w:rsidRDefault="00042BBA" w:rsidP="005E7868">
      <w:pPr>
        <w:jc w:val="both"/>
      </w:pPr>
    </w:p>
    <w:p w14:paraId="69B51D95" w14:textId="77777777" w:rsidR="00C055A0" w:rsidRDefault="00270274" w:rsidP="005E7868">
      <w:pPr>
        <w:jc w:val="both"/>
      </w:pPr>
      <w:r>
        <w:t>S</w:t>
      </w:r>
      <w:r w:rsidRPr="00C055A0">
        <w:t xml:space="preserve">avings from the ASU and Outreach Service </w:t>
      </w:r>
      <w:r>
        <w:t xml:space="preserve">are expected to be £0.111m in 2017/18, £2.405m in 2018/19 and £3.559m in 2019/20 and beyond and </w:t>
      </w:r>
      <w:r w:rsidRPr="00C055A0">
        <w:t>will be generated from</w:t>
      </w:r>
      <w:r>
        <w:t xml:space="preserve"> the following as outlined in the table below.</w:t>
      </w:r>
    </w:p>
    <w:p w14:paraId="643CC713" w14:textId="77777777" w:rsidR="00126DA5" w:rsidRDefault="00042BBA" w:rsidP="005E7868">
      <w:pPr>
        <w:jc w:val="both"/>
      </w:pPr>
    </w:p>
    <w:p w14:paraId="0AAE1DF7" w14:textId="3289F13F" w:rsidR="00126DA5" w:rsidRDefault="00270274" w:rsidP="005E7868">
      <w:pPr>
        <w:pStyle w:val="ListParagraph"/>
        <w:numPr>
          <w:ilvl w:val="0"/>
          <w:numId w:val="6"/>
        </w:numPr>
        <w:autoSpaceDE w:val="0"/>
        <w:autoSpaceDN w:val="0"/>
        <w:adjustRightInd w:val="0"/>
        <w:ind w:right="254"/>
        <w:jc w:val="both"/>
        <w:rPr>
          <w:rFonts w:eastAsia="Calibri" w:cs="Arial"/>
          <w:bCs/>
          <w:szCs w:val="24"/>
          <w:lang w:eastAsia="en-US"/>
        </w:rPr>
      </w:pPr>
      <w:r w:rsidRPr="00126DA5">
        <w:rPr>
          <w:rFonts w:eastAsia="Calibri" w:cs="Arial"/>
          <w:bCs/>
          <w:szCs w:val="24"/>
          <w:lang w:eastAsia="en-US"/>
        </w:rPr>
        <w:t>Preventing CYP coming into care</w:t>
      </w:r>
      <w:r>
        <w:rPr>
          <w:rFonts w:eastAsia="Calibri" w:cs="Arial"/>
          <w:bCs/>
          <w:szCs w:val="24"/>
          <w:lang w:eastAsia="en-US"/>
        </w:rPr>
        <w:t xml:space="preserve"> and associated placement costs.  </w:t>
      </w:r>
      <w:r w:rsidRPr="00126DA5">
        <w:rPr>
          <w:rFonts w:eastAsia="Calibri" w:cs="Arial"/>
          <w:bCs/>
          <w:szCs w:val="24"/>
          <w:lang w:eastAsia="en-US"/>
        </w:rPr>
        <w:t xml:space="preserve">Based on a 60% success rate </w:t>
      </w:r>
      <w:r>
        <w:rPr>
          <w:rFonts w:eastAsia="Calibri" w:cs="Arial"/>
          <w:bCs/>
          <w:szCs w:val="24"/>
          <w:lang w:eastAsia="en-US"/>
        </w:rPr>
        <w:t xml:space="preserve">it is anticipated that the </w:t>
      </w:r>
      <w:r w:rsidRPr="00126DA5">
        <w:rPr>
          <w:rFonts w:eastAsia="Calibri" w:cs="Arial"/>
          <w:bCs/>
          <w:szCs w:val="24"/>
          <w:lang w:eastAsia="en-US"/>
        </w:rPr>
        <w:t>ASU</w:t>
      </w:r>
      <w:r>
        <w:rPr>
          <w:rFonts w:eastAsia="Calibri" w:cs="Arial"/>
          <w:bCs/>
          <w:szCs w:val="24"/>
          <w:lang w:eastAsia="en-US"/>
        </w:rPr>
        <w:t xml:space="preserve"> will prevent 36</w:t>
      </w:r>
      <w:r w:rsidRPr="00126DA5">
        <w:rPr>
          <w:rFonts w:eastAsia="Calibri" w:cs="Arial"/>
          <w:bCs/>
          <w:szCs w:val="24"/>
          <w:lang w:eastAsia="en-US"/>
        </w:rPr>
        <w:t xml:space="preserve"> CYP </w:t>
      </w:r>
      <w:r>
        <w:rPr>
          <w:rFonts w:eastAsia="Calibri" w:cs="Arial"/>
          <w:bCs/>
          <w:szCs w:val="24"/>
          <w:lang w:eastAsia="en-US"/>
        </w:rPr>
        <w:t xml:space="preserve">coming into care </w:t>
      </w:r>
      <w:r w:rsidRPr="00126DA5">
        <w:rPr>
          <w:rFonts w:eastAsia="Calibri" w:cs="Arial"/>
          <w:bCs/>
          <w:szCs w:val="24"/>
          <w:lang w:eastAsia="en-US"/>
        </w:rPr>
        <w:t>per annum</w:t>
      </w:r>
      <w:r w:rsidR="00042BBA">
        <w:rPr>
          <w:rFonts w:eastAsia="Calibri" w:cs="Arial"/>
          <w:bCs/>
          <w:szCs w:val="24"/>
          <w:lang w:eastAsia="en-US"/>
        </w:rPr>
        <w:t>.</w:t>
      </w:r>
      <w:r>
        <w:rPr>
          <w:rFonts w:eastAsia="Calibri" w:cs="Arial"/>
          <w:bCs/>
          <w:szCs w:val="24"/>
          <w:lang w:eastAsia="en-US"/>
        </w:rPr>
        <w:t xml:space="preserve"> </w:t>
      </w:r>
      <w:r w:rsidR="00042BBA">
        <w:t>This would represent a reduction of 25% of Section 20 (voluntary) adolescents coming into care per annum, based on the figure for 2015/16 of 140</w:t>
      </w:r>
      <w:r w:rsidR="00042BBA">
        <w:t>.</w:t>
      </w:r>
    </w:p>
    <w:p w14:paraId="54C03C16" w14:textId="77777777" w:rsidR="00126DA5" w:rsidRPr="000E066C" w:rsidRDefault="00270274" w:rsidP="005E7868">
      <w:pPr>
        <w:pStyle w:val="ListParagraph"/>
        <w:numPr>
          <w:ilvl w:val="0"/>
          <w:numId w:val="6"/>
        </w:numPr>
        <w:autoSpaceDE w:val="0"/>
        <w:autoSpaceDN w:val="0"/>
        <w:adjustRightInd w:val="0"/>
        <w:ind w:right="254"/>
        <w:jc w:val="both"/>
        <w:rPr>
          <w:rFonts w:eastAsia="Calibri" w:cs="Arial"/>
          <w:bCs/>
          <w:szCs w:val="24"/>
          <w:lang w:eastAsia="en-US"/>
        </w:rPr>
      </w:pPr>
      <w:r>
        <w:rPr>
          <w:rFonts w:eastAsia="Calibri" w:cs="Arial"/>
          <w:bCs/>
          <w:szCs w:val="24"/>
          <w:lang w:eastAsia="en-US"/>
        </w:rPr>
        <w:t>Preventing</w:t>
      </w:r>
      <w:r w:rsidRPr="00126DA5">
        <w:rPr>
          <w:rFonts w:eastAsia="Calibri" w:cs="Arial"/>
          <w:bCs/>
          <w:szCs w:val="24"/>
          <w:lang w:eastAsia="en-US"/>
        </w:rPr>
        <w:t xml:space="preserve"> </w:t>
      </w:r>
      <w:r>
        <w:rPr>
          <w:rFonts w:eastAsia="Calibri" w:cs="Arial"/>
          <w:bCs/>
          <w:szCs w:val="24"/>
          <w:lang w:eastAsia="en-US"/>
        </w:rPr>
        <w:t>breakdown</w:t>
      </w:r>
      <w:r w:rsidRPr="00EC5BBF">
        <w:rPr>
          <w:rFonts w:eastAsia="Calibri" w:cs="Arial"/>
          <w:bCs/>
          <w:szCs w:val="24"/>
          <w:lang w:eastAsia="en-US"/>
        </w:rPr>
        <w:t xml:space="preserve"> of fostering placements.  </w:t>
      </w:r>
    </w:p>
    <w:p w14:paraId="6DCDEA09" w14:textId="77777777" w:rsidR="00126DA5" w:rsidRDefault="00270274" w:rsidP="005E7868">
      <w:pPr>
        <w:pStyle w:val="ListParagraph"/>
        <w:numPr>
          <w:ilvl w:val="0"/>
          <w:numId w:val="6"/>
        </w:numPr>
        <w:autoSpaceDE w:val="0"/>
        <w:autoSpaceDN w:val="0"/>
        <w:adjustRightInd w:val="0"/>
        <w:ind w:right="254"/>
        <w:jc w:val="both"/>
        <w:rPr>
          <w:rFonts w:eastAsia="Calibri" w:cs="Arial"/>
          <w:bCs/>
          <w:szCs w:val="24"/>
          <w:lang w:eastAsia="en-US"/>
        </w:rPr>
      </w:pPr>
      <w:r>
        <w:rPr>
          <w:rFonts w:eastAsia="Calibri" w:cs="Arial"/>
          <w:bCs/>
          <w:szCs w:val="24"/>
          <w:lang w:eastAsia="en-US"/>
        </w:rPr>
        <w:t>Reducing</w:t>
      </w:r>
      <w:r w:rsidRPr="00126DA5">
        <w:rPr>
          <w:rFonts w:eastAsia="Calibri" w:cs="Arial"/>
          <w:bCs/>
          <w:szCs w:val="24"/>
          <w:lang w:eastAsia="en-US"/>
        </w:rPr>
        <w:t xml:space="preserve"> time in care for existing looked after CYP.</w:t>
      </w:r>
      <w:r>
        <w:rPr>
          <w:rFonts w:eastAsia="Calibri" w:cs="Arial"/>
          <w:bCs/>
          <w:szCs w:val="24"/>
          <w:lang w:eastAsia="en-US"/>
        </w:rPr>
        <w:t xml:space="preserve">  </w:t>
      </w:r>
      <w:r w:rsidRPr="00126DA5">
        <w:rPr>
          <w:rFonts w:eastAsia="Calibri" w:cs="Arial"/>
          <w:bCs/>
          <w:szCs w:val="24"/>
          <w:lang w:eastAsia="en-US"/>
        </w:rPr>
        <w:t xml:space="preserve">The service will support </w:t>
      </w:r>
      <w:r>
        <w:rPr>
          <w:rFonts w:eastAsia="Calibri" w:cs="Arial"/>
          <w:bCs/>
          <w:szCs w:val="24"/>
          <w:lang w:eastAsia="en-US"/>
        </w:rPr>
        <w:t xml:space="preserve">the </w:t>
      </w:r>
      <w:r w:rsidRPr="00126DA5">
        <w:rPr>
          <w:rFonts w:eastAsia="Calibri" w:cs="Arial"/>
          <w:bCs/>
          <w:szCs w:val="24"/>
          <w:lang w:eastAsia="en-US"/>
        </w:rPr>
        <w:t>ret</w:t>
      </w:r>
      <w:r>
        <w:rPr>
          <w:rFonts w:eastAsia="Calibri" w:cs="Arial"/>
          <w:bCs/>
          <w:szCs w:val="24"/>
          <w:lang w:eastAsia="en-US"/>
        </w:rPr>
        <w:t xml:space="preserve">urn home of 8 looked after CYP based </w:t>
      </w:r>
      <w:r w:rsidRPr="00EC5BBF">
        <w:rPr>
          <w:rFonts w:eastAsia="Calibri" w:cs="Arial"/>
          <w:bCs/>
          <w:szCs w:val="24"/>
          <w:lang w:eastAsia="en-US"/>
        </w:rPr>
        <w:t>on reunifying 1 in 6.5 of the current cohort (as at February 2017) of 54 CYP accommodated under Sect</w:t>
      </w:r>
      <w:r>
        <w:rPr>
          <w:rFonts w:eastAsia="Calibri" w:cs="Arial"/>
          <w:bCs/>
          <w:szCs w:val="24"/>
          <w:lang w:eastAsia="en-US"/>
        </w:rPr>
        <w:t xml:space="preserve">ion 20 with external providers. </w:t>
      </w:r>
    </w:p>
    <w:p w14:paraId="0F985781" w14:textId="77777777" w:rsidR="00EC5BBF" w:rsidRDefault="00042BBA" w:rsidP="005E7868">
      <w:pPr>
        <w:autoSpaceDE w:val="0"/>
        <w:autoSpaceDN w:val="0"/>
        <w:adjustRightInd w:val="0"/>
        <w:ind w:right="254"/>
        <w:jc w:val="both"/>
        <w:rPr>
          <w:rFonts w:eastAsia="Calibri" w:cs="Arial"/>
          <w:bCs/>
          <w:szCs w:val="24"/>
          <w:lang w:eastAsia="en-US"/>
        </w:rPr>
      </w:pPr>
    </w:p>
    <w:p w14:paraId="6261A9A2" w14:textId="4F3F13B6" w:rsidR="000E066C" w:rsidRDefault="00270274" w:rsidP="005E7868">
      <w:pPr>
        <w:autoSpaceDE w:val="0"/>
        <w:autoSpaceDN w:val="0"/>
        <w:adjustRightInd w:val="0"/>
        <w:ind w:right="254"/>
        <w:jc w:val="both"/>
        <w:rPr>
          <w:rFonts w:eastAsia="Calibri" w:cs="Arial"/>
          <w:bCs/>
          <w:szCs w:val="24"/>
          <w:lang w:eastAsia="en-US"/>
        </w:rPr>
      </w:pPr>
      <w:r w:rsidRPr="00126DA5">
        <w:rPr>
          <w:rFonts w:eastAsia="Calibri" w:cs="Arial"/>
          <w:bCs/>
          <w:szCs w:val="24"/>
          <w:lang w:eastAsia="en-US"/>
        </w:rPr>
        <w:t xml:space="preserve">Whilst reducing numbers in care will </w:t>
      </w:r>
      <w:r>
        <w:rPr>
          <w:rFonts w:eastAsia="Calibri" w:cs="Arial"/>
          <w:bCs/>
          <w:szCs w:val="24"/>
          <w:lang w:eastAsia="en-US"/>
        </w:rPr>
        <w:t>reduce</w:t>
      </w:r>
      <w:r w:rsidRPr="00126DA5">
        <w:rPr>
          <w:rFonts w:eastAsia="Calibri" w:cs="Arial"/>
          <w:bCs/>
          <w:szCs w:val="24"/>
          <w:lang w:eastAsia="en-US"/>
        </w:rPr>
        <w:t xml:space="preserve"> social work caseload</w:t>
      </w:r>
      <w:r>
        <w:rPr>
          <w:rFonts w:eastAsia="Calibri" w:cs="Arial"/>
          <w:bCs/>
          <w:szCs w:val="24"/>
          <w:lang w:eastAsia="en-US"/>
        </w:rPr>
        <w:t xml:space="preserve"> </w:t>
      </w:r>
      <w:r w:rsidRPr="00126DA5">
        <w:rPr>
          <w:rFonts w:eastAsia="Calibri" w:cs="Arial"/>
          <w:bCs/>
          <w:szCs w:val="24"/>
          <w:lang w:eastAsia="en-US"/>
        </w:rPr>
        <w:t>(all other things being equal</w:t>
      </w:r>
      <w:r>
        <w:rPr>
          <w:rFonts w:eastAsia="Calibri" w:cs="Arial"/>
          <w:bCs/>
          <w:szCs w:val="24"/>
          <w:lang w:eastAsia="en-US"/>
        </w:rPr>
        <w:t>)</w:t>
      </w:r>
      <w:r w:rsidRPr="00126DA5">
        <w:rPr>
          <w:rFonts w:eastAsia="Calibri" w:cs="Arial"/>
          <w:bCs/>
          <w:szCs w:val="24"/>
          <w:lang w:eastAsia="en-US"/>
        </w:rPr>
        <w:t>, at this point</w:t>
      </w:r>
      <w:r>
        <w:rPr>
          <w:rFonts w:eastAsia="Calibri" w:cs="Arial"/>
          <w:bCs/>
          <w:szCs w:val="24"/>
          <w:lang w:eastAsia="en-US"/>
        </w:rPr>
        <w:t xml:space="preserve"> it is </w:t>
      </w:r>
      <w:r w:rsidRPr="00126DA5">
        <w:rPr>
          <w:rFonts w:eastAsia="Calibri" w:cs="Arial"/>
          <w:bCs/>
          <w:szCs w:val="24"/>
          <w:lang w:eastAsia="en-US"/>
        </w:rPr>
        <w:t>difficult to estimate</w:t>
      </w:r>
      <w:r>
        <w:rPr>
          <w:rFonts w:eastAsia="Calibri" w:cs="Arial"/>
          <w:bCs/>
          <w:szCs w:val="24"/>
          <w:lang w:eastAsia="en-US"/>
        </w:rPr>
        <w:t xml:space="preserve"> the impact of this</w:t>
      </w:r>
      <w:r w:rsidRPr="00126DA5">
        <w:rPr>
          <w:rFonts w:eastAsia="Calibri" w:cs="Arial"/>
          <w:bCs/>
          <w:szCs w:val="24"/>
          <w:lang w:eastAsia="en-US"/>
        </w:rPr>
        <w:t xml:space="preserve">. The anticipated savings below represent </w:t>
      </w:r>
      <w:r>
        <w:rPr>
          <w:rFonts w:eastAsia="Calibri" w:cs="Arial"/>
          <w:bCs/>
          <w:szCs w:val="24"/>
          <w:lang w:eastAsia="en-US"/>
        </w:rPr>
        <w:t>a reduction in placement costs</w:t>
      </w:r>
      <w:r w:rsidRPr="00126DA5">
        <w:rPr>
          <w:rFonts w:eastAsia="Calibri" w:cs="Arial"/>
          <w:bCs/>
          <w:szCs w:val="24"/>
          <w:lang w:eastAsia="en-US"/>
        </w:rPr>
        <w:t xml:space="preserve">. </w:t>
      </w:r>
    </w:p>
    <w:p w14:paraId="57B5876A" w14:textId="77777777" w:rsidR="00EA09B5" w:rsidRDefault="00270274" w:rsidP="005E7868">
      <w:pPr>
        <w:jc w:val="both"/>
        <w:rPr>
          <w:rFonts w:eastAsia="Calibri" w:cs="Arial"/>
          <w:bCs/>
          <w:szCs w:val="24"/>
          <w:lang w:eastAsia="en-US"/>
        </w:rPr>
      </w:pPr>
      <w:r>
        <w:rPr>
          <w:rFonts w:eastAsia="Calibri" w:cs="Arial"/>
          <w:bCs/>
          <w:szCs w:val="24"/>
          <w:lang w:eastAsia="en-US"/>
        </w:rPr>
        <w:br w:type="page"/>
      </w:r>
    </w:p>
    <w:p w14:paraId="6A18C5FF" w14:textId="77777777" w:rsidR="00EC5BBF" w:rsidRDefault="00042BBA" w:rsidP="00126DA5">
      <w:pPr>
        <w:autoSpaceDE w:val="0"/>
        <w:autoSpaceDN w:val="0"/>
        <w:adjustRightInd w:val="0"/>
        <w:ind w:right="254"/>
        <w:jc w:val="both"/>
        <w:rPr>
          <w:rFonts w:eastAsia="Calibri" w:cs="Arial"/>
          <w:bCs/>
          <w:szCs w:val="24"/>
          <w:lang w:eastAsia="en-US"/>
        </w:rPr>
      </w:pPr>
    </w:p>
    <w:tbl>
      <w:tblPr>
        <w:tblW w:w="9067" w:type="dxa"/>
        <w:tblLayout w:type="fixed"/>
        <w:tblLook w:val="04A0" w:firstRow="1" w:lastRow="0" w:firstColumn="1" w:lastColumn="0" w:noHBand="0" w:noVBand="1"/>
      </w:tblPr>
      <w:tblGrid>
        <w:gridCol w:w="3539"/>
        <w:gridCol w:w="2126"/>
        <w:gridCol w:w="1134"/>
        <w:gridCol w:w="1134"/>
        <w:gridCol w:w="1134"/>
      </w:tblGrid>
      <w:tr w:rsidR="00075097" w14:paraId="7FFE4D27" w14:textId="77777777" w:rsidTr="004E7812">
        <w:trPr>
          <w:trHeight w:val="510"/>
        </w:trPr>
        <w:tc>
          <w:tcPr>
            <w:tcW w:w="3539"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5370B555" w14:textId="77777777" w:rsidR="004E7812" w:rsidRPr="004E7812" w:rsidRDefault="00270274" w:rsidP="004E7812">
            <w:pPr>
              <w:jc w:val="center"/>
              <w:rPr>
                <w:rFonts w:cs="Arial"/>
                <w:b/>
                <w:bCs/>
                <w:color w:val="000000"/>
                <w:sz w:val="20"/>
              </w:rPr>
            </w:pPr>
            <w:r w:rsidRPr="004E7812">
              <w:rPr>
                <w:rFonts w:cs="Arial"/>
                <w:b/>
                <w:bCs/>
                <w:color w:val="000000"/>
                <w:sz w:val="20"/>
              </w:rPr>
              <w:t> </w:t>
            </w:r>
          </w:p>
        </w:tc>
        <w:tc>
          <w:tcPr>
            <w:tcW w:w="2126" w:type="dxa"/>
            <w:tcBorders>
              <w:top w:val="single" w:sz="4" w:space="0" w:color="auto"/>
              <w:left w:val="nil"/>
              <w:bottom w:val="single" w:sz="4" w:space="0" w:color="auto"/>
              <w:right w:val="single" w:sz="4" w:space="0" w:color="auto"/>
            </w:tcBorders>
            <w:shd w:val="clear" w:color="000000" w:fill="BFBFBF"/>
            <w:vAlign w:val="bottom"/>
            <w:hideMark/>
          </w:tcPr>
          <w:p w14:paraId="25E954B9" w14:textId="77777777" w:rsidR="004E7812" w:rsidRPr="004E7812" w:rsidRDefault="00270274" w:rsidP="004E7812">
            <w:pPr>
              <w:jc w:val="center"/>
              <w:rPr>
                <w:rFonts w:cs="Arial"/>
                <w:b/>
                <w:bCs/>
                <w:color w:val="000000"/>
                <w:sz w:val="20"/>
              </w:rPr>
            </w:pPr>
            <w:r w:rsidRPr="004E7812">
              <w:rPr>
                <w:rFonts w:cs="Arial"/>
                <w:b/>
                <w:bCs/>
                <w:color w:val="000000"/>
                <w:sz w:val="20"/>
              </w:rPr>
              <w:t>Nature of Saving</w:t>
            </w:r>
          </w:p>
        </w:tc>
        <w:tc>
          <w:tcPr>
            <w:tcW w:w="1134" w:type="dxa"/>
            <w:tcBorders>
              <w:top w:val="single" w:sz="4" w:space="0" w:color="auto"/>
              <w:left w:val="nil"/>
              <w:bottom w:val="single" w:sz="4" w:space="0" w:color="auto"/>
              <w:right w:val="single" w:sz="4" w:space="0" w:color="auto"/>
            </w:tcBorders>
            <w:shd w:val="clear" w:color="000000" w:fill="BFBFBF"/>
            <w:vAlign w:val="bottom"/>
            <w:hideMark/>
          </w:tcPr>
          <w:p w14:paraId="036404B1" w14:textId="77777777" w:rsidR="004E7812" w:rsidRPr="004E7812" w:rsidRDefault="00270274" w:rsidP="004E7812">
            <w:pPr>
              <w:jc w:val="center"/>
              <w:rPr>
                <w:rFonts w:cs="Arial"/>
                <w:b/>
                <w:bCs/>
                <w:color w:val="000000"/>
                <w:sz w:val="20"/>
              </w:rPr>
            </w:pPr>
            <w:r w:rsidRPr="004E7812">
              <w:rPr>
                <w:rFonts w:cs="Arial"/>
                <w:b/>
                <w:bCs/>
                <w:color w:val="000000"/>
                <w:sz w:val="20"/>
              </w:rPr>
              <w:t xml:space="preserve">2017/18 </w:t>
            </w:r>
            <w:r w:rsidRPr="004E7812">
              <w:rPr>
                <w:rFonts w:cs="Arial"/>
                <w:b/>
                <w:bCs/>
                <w:color w:val="000000"/>
                <w:sz w:val="20"/>
              </w:rPr>
              <w:br/>
              <w:t>£m</w:t>
            </w:r>
          </w:p>
        </w:tc>
        <w:tc>
          <w:tcPr>
            <w:tcW w:w="1134" w:type="dxa"/>
            <w:tcBorders>
              <w:top w:val="single" w:sz="4" w:space="0" w:color="auto"/>
              <w:left w:val="nil"/>
              <w:bottom w:val="single" w:sz="4" w:space="0" w:color="auto"/>
              <w:right w:val="single" w:sz="4" w:space="0" w:color="auto"/>
            </w:tcBorders>
            <w:shd w:val="clear" w:color="000000" w:fill="BFBFBF"/>
            <w:vAlign w:val="bottom"/>
            <w:hideMark/>
          </w:tcPr>
          <w:p w14:paraId="2F14B8B8" w14:textId="77777777" w:rsidR="004E7812" w:rsidRPr="004E7812" w:rsidRDefault="00270274" w:rsidP="004E7812">
            <w:pPr>
              <w:jc w:val="center"/>
              <w:rPr>
                <w:rFonts w:cs="Arial"/>
                <w:b/>
                <w:bCs/>
                <w:color w:val="000000"/>
                <w:sz w:val="20"/>
              </w:rPr>
            </w:pPr>
            <w:r w:rsidRPr="004E7812">
              <w:rPr>
                <w:rFonts w:cs="Arial"/>
                <w:b/>
                <w:bCs/>
                <w:color w:val="000000"/>
                <w:sz w:val="20"/>
              </w:rPr>
              <w:t xml:space="preserve">2018/19 </w:t>
            </w:r>
            <w:r w:rsidRPr="004E7812">
              <w:rPr>
                <w:rFonts w:cs="Arial"/>
                <w:b/>
                <w:bCs/>
                <w:color w:val="000000"/>
                <w:sz w:val="20"/>
              </w:rPr>
              <w:br/>
              <w:t>£m</w:t>
            </w:r>
          </w:p>
        </w:tc>
        <w:tc>
          <w:tcPr>
            <w:tcW w:w="1134" w:type="dxa"/>
            <w:tcBorders>
              <w:top w:val="single" w:sz="4" w:space="0" w:color="auto"/>
              <w:left w:val="nil"/>
              <w:bottom w:val="single" w:sz="4" w:space="0" w:color="auto"/>
              <w:right w:val="single" w:sz="4" w:space="0" w:color="auto"/>
            </w:tcBorders>
            <w:shd w:val="clear" w:color="000000" w:fill="BFBFBF"/>
            <w:vAlign w:val="bottom"/>
            <w:hideMark/>
          </w:tcPr>
          <w:p w14:paraId="48FF2A15" w14:textId="77777777" w:rsidR="004E7812" w:rsidRPr="004E7812" w:rsidRDefault="00270274" w:rsidP="004E7812">
            <w:pPr>
              <w:jc w:val="center"/>
              <w:rPr>
                <w:rFonts w:cs="Arial"/>
                <w:b/>
                <w:bCs/>
                <w:color w:val="000000"/>
                <w:sz w:val="20"/>
              </w:rPr>
            </w:pPr>
            <w:r w:rsidRPr="004E7812">
              <w:rPr>
                <w:rFonts w:cs="Arial"/>
                <w:b/>
                <w:bCs/>
                <w:color w:val="000000"/>
                <w:sz w:val="20"/>
              </w:rPr>
              <w:t xml:space="preserve">2019/20 </w:t>
            </w:r>
            <w:r w:rsidRPr="004E7812">
              <w:rPr>
                <w:rFonts w:cs="Arial"/>
                <w:b/>
                <w:bCs/>
                <w:color w:val="000000"/>
                <w:sz w:val="20"/>
              </w:rPr>
              <w:br/>
              <w:t>£m</w:t>
            </w:r>
          </w:p>
        </w:tc>
      </w:tr>
      <w:tr w:rsidR="00075097" w14:paraId="4EA487BA" w14:textId="77777777" w:rsidTr="004E7812">
        <w:trPr>
          <w:trHeight w:val="255"/>
        </w:trPr>
        <w:tc>
          <w:tcPr>
            <w:tcW w:w="3539" w:type="dxa"/>
            <w:tcBorders>
              <w:top w:val="nil"/>
              <w:left w:val="single" w:sz="4" w:space="0" w:color="auto"/>
              <w:bottom w:val="single" w:sz="4" w:space="0" w:color="auto"/>
              <w:right w:val="single" w:sz="4" w:space="0" w:color="auto"/>
            </w:tcBorders>
            <w:shd w:val="clear" w:color="auto" w:fill="auto"/>
            <w:vAlign w:val="bottom"/>
            <w:hideMark/>
          </w:tcPr>
          <w:p w14:paraId="59E2D617" w14:textId="77777777" w:rsidR="004E7812" w:rsidRPr="004E7812" w:rsidRDefault="00270274" w:rsidP="004E7812">
            <w:pPr>
              <w:rPr>
                <w:rFonts w:cs="Arial"/>
                <w:color w:val="000000"/>
                <w:sz w:val="20"/>
              </w:rPr>
            </w:pPr>
            <w:r w:rsidRPr="004E7812">
              <w:rPr>
                <w:rFonts w:cs="Arial"/>
                <w:color w:val="000000"/>
                <w:sz w:val="20"/>
              </w:rPr>
              <w:t>36 Adolescents Prevented from Coming into Care</w:t>
            </w:r>
          </w:p>
        </w:tc>
        <w:tc>
          <w:tcPr>
            <w:tcW w:w="2126" w:type="dxa"/>
            <w:tcBorders>
              <w:top w:val="nil"/>
              <w:left w:val="nil"/>
              <w:bottom w:val="single" w:sz="4" w:space="0" w:color="auto"/>
              <w:right w:val="single" w:sz="4" w:space="0" w:color="auto"/>
            </w:tcBorders>
            <w:shd w:val="clear" w:color="auto" w:fill="auto"/>
            <w:vAlign w:val="center"/>
            <w:hideMark/>
          </w:tcPr>
          <w:p w14:paraId="6E3C132F" w14:textId="77777777" w:rsidR="004E7812" w:rsidRPr="004E7812" w:rsidRDefault="00270274" w:rsidP="004E7812">
            <w:pPr>
              <w:rPr>
                <w:rFonts w:cs="Arial"/>
                <w:color w:val="000000"/>
                <w:sz w:val="20"/>
              </w:rPr>
            </w:pPr>
            <w:r w:rsidRPr="004E7812">
              <w:rPr>
                <w:rFonts w:cs="Arial"/>
                <w:color w:val="000000"/>
                <w:sz w:val="20"/>
              </w:rPr>
              <w:t>Cost Prevented</w:t>
            </w:r>
          </w:p>
        </w:tc>
        <w:tc>
          <w:tcPr>
            <w:tcW w:w="1134" w:type="dxa"/>
            <w:tcBorders>
              <w:top w:val="nil"/>
              <w:left w:val="nil"/>
              <w:bottom w:val="single" w:sz="4" w:space="0" w:color="auto"/>
              <w:right w:val="single" w:sz="4" w:space="0" w:color="auto"/>
            </w:tcBorders>
            <w:shd w:val="clear" w:color="auto" w:fill="auto"/>
            <w:vAlign w:val="center"/>
            <w:hideMark/>
          </w:tcPr>
          <w:p w14:paraId="11B8E252" w14:textId="77777777" w:rsidR="004E7812" w:rsidRPr="004E7812" w:rsidRDefault="00270274" w:rsidP="004E7812">
            <w:pPr>
              <w:jc w:val="right"/>
              <w:rPr>
                <w:rFonts w:cs="Arial"/>
                <w:color w:val="000000"/>
                <w:sz w:val="20"/>
              </w:rPr>
            </w:pPr>
            <w:r w:rsidRPr="004E7812">
              <w:rPr>
                <w:rFonts w:cs="Arial"/>
                <w:color w:val="000000"/>
                <w:sz w:val="20"/>
              </w:rPr>
              <w:t>0.111</w:t>
            </w:r>
          </w:p>
        </w:tc>
        <w:tc>
          <w:tcPr>
            <w:tcW w:w="1134" w:type="dxa"/>
            <w:tcBorders>
              <w:top w:val="nil"/>
              <w:left w:val="nil"/>
              <w:bottom w:val="single" w:sz="4" w:space="0" w:color="auto"/>
              <w:right w:val="single" w:sz="4" w:space="0" w:color="auto"/>
            </w:tcBorders>
            <w:shd w:val="clear" w:color="auto" w:fill="auto"/>
            <w:vAlign w:val="center"/>
            <w:hideMark/>
          </w:tcPr>
          <w:p w14:paraId="7CCF1B28" w14:textId="77777777" w:rsidR="004E7812" w:rsidRPr="004E7812" w:rsidRDefault="00270274" w:rsidP="004E7812">
            <w:pPr>
              <w:jc w:val="right"/>
              <w:rPr>
                <w:rFonts w:cs="Arial"/>
                <w:color w:val="000000"/>
                <w:sz w:val="20"/>
              </w:rPr>
            </w:pPr>
            <w:r w:rsidRPr="004E7812">
              <w:rPr>
                <w:rFonts w:cs="Arial"/>
                <w:color w:val="000000"/>
                <w:sz w:val="20"/>
              </w:rPr>
              <w:t>2.144</w:t>
            </w:r>
          </w:p>
        </w:tc>
        <w:tc>
          <w:tcPr>
            <w:tcW w:w="1134" w:type="dxa"/>
            <w:tcBorders>
              <w:top w:val="nil"/>
              <w:left w:val="nil"/>
              <w:bottom w:val="single" w:sz="4" w:space="0" w:color="auto"/>
              <w:right w:val="single" w:sz="4" w:space="0" w:color="auto"/>
            </w:tcBorders>
            <w:shd w:val="clear" w:color="auto" w:fill="auto"/>
            <w:vAlign w:val="center"/>
            <w:hideMark/>
          </w:tcPr>
          <w:p w14:paraId="3051D6A7" w14:textId="77777777" w:rsidR="004E7812" w:rsidRPr="004E7812" w:rsidRDefault="00270274" w:rsidP="004E7812">
            <w:pPr>
              <w:jc w:val="right"/>
              <w:rPr>
                <w:rFonts w:cs="Arial"/>
                <w:color w:val="000000"/>
                <w:sz w:val="20"/>
              </w:rPr>
            </w:pPr>
            <w:r w:rsidRPr="004E7812">
              <w:rPr>
                <w:rFonts w:cs="Arial"/>
                <w:color w:val="000000"/>
                <w:sz w:val="20"/>
              </w:rPr>
              <w:t>3.185</w:t>
            </w:r>
          </w:p>
        </w:tc>
      </w:tr>
      <w:tr w:rsidR="00075097" w14:paraId="6395F422" w14:textId="77777777" w:rsidTr="004E7812">
        <w:trPr>
          <w:trHeight w:val="255"/>
        </w:trPr>
        <w:tc>
          <w:tcPr>
            <w:tcW w:w="3539" w:type="dxa"/>
            <w:tcBorders>
              <w:top w:val="nil"/>
              <w:left w:val="single" w:sz="4" w:space="0" w:color="auto"/>
              <w:bottom w:val="single" w:sz="4" w:space="0" w:color="auto"/>
              <w:right w:val="single" w:sz="4" w:space="0" w:color="auto"/>
            </w:tcBorders>
            <w:shd w:val="clear" w:color="auto" w:fill="auto"/>
            <w:vAlign w:val="bottom"/>
            <w:hideMark/>
          </w:tcPr>
          <w:p w14:paraId="18F7DA37" w14:textId="77777777" w:rsidR="004E7812" w:rsidRPr="004E7812" w:rsidRDefault="00270274" w:rsidP="004E7812">
            <w:pPr>
              <w:rPr>
                <w:rFonts w:cs="Arial"/>
                <w:color w:val="000000"/>
                <w:sz w:val="20"/>
              </w:rPr>
            </w:pPr>
            <w:r w:rsidRPr="004E7812">
              <w:rPr>
                <w:rFonts w:cs="Arial"/>
                <w:color w:val="000000"/>
                <w:sz w:val="20"/>
              </w:rPr>
              <w:t>1 In-house Foster Placement Breakdown Avoided</w:t>
            </w:r>
          </w:p>
        </w:tc>
        <w:tc>
          <w:tcPr>
            <w:tcW w:w="2126" w:type="dxa"/>
            <w:tcBorders>
              <w:top w:val="nil"/>
              <w:left w:val="nil"/>
              <w:bottom w:val="single" w:sz="4" w:space="0" w:color="auto"/>
              <w:right w:val="single" w:sz="4" w:space="0" w:color="auto"/>
            </w:tcBorders>
            <w:shd w:val="clear" w:color="auto" w:fill="auto"/>
            <w:vAlign w:val="center"/>
            <w:hideMark/>
          </w:tcPr>
          <w:p w14:paraId="777B3C2E" w14:textId="77777777" w:rsidR="004E7812" w:rsidRPr="004E7812" w:rsidRDefault="00270274" w:rsidP="004E7812">
            <w:pPr>
              <w:rPr>
                <w:rFonts w:cs="Arial"/>
                <w:color w:val="000000"/>
                <w:sz w:val="20"/>
              </w:rPr>
            </w:pPr>
            <w:r w:rsidRPr="004E7812">
              <w:rPr>
                <w:rFonts w:cs="Arial"/>
                <w:color w:val="000000"/>
                <w:sz w:val="20"/>
              </w:rPr>
              <w:t>Cost Prevented</w:t>
            </w:r>
          </w:p>
        </w:tc>
        <w:tc>
          <w:tcPr>
            <w:tcW w:w="1134" w:type="dxa"/>
            <w:tcBorders>
              <w:top w:val="nil"/>
              <w:left w:val="nil"/>
              <w:bottom w:val="single" w:sz="4" w:space="0" w:color="auto"/>
              <w:right w:val="single" w:sz="4" w:space="0" w:color="auto"/>
            </w:tcBorders>
            <w:shd w:val="clear" w:color="auto" w:fill="auto"/>
            <w:vAlign w:val="center"/>
            <w:hideMark/>
          </w:tcPr>
          <w:p w14:paraId="4DC0A67F" w14:textId="77777777" w:rsidR="004E7812" w:rsidRPr="004E7812" w:rsidRDefault="00270274" w:rsidP="004E7812">
            <w:pPr>
              <w:jc w:val="right"/>
              <w:rPr>
                <w:rFonts w:cs="Arial"/>
                <w:color w:val="000000"/>
                <w:sz w:val="20"/>
              </w:rPr>
            </w:pPr>
            <w:r w:rsidRPr="004E7812">
              <w:rPr>
                <w:rFonts w:cs="Arial"/>
                <w:color w:val="000000"/>
                <w:sz w:val="20"/>
              </w:rPr>
              <w:t>0.000</w:t>
            </w:r>
          </w:p>
        </w:tc>
        <w:tc>
          <w:tcPr>
            <w:tcW w:w="1134" w:type="dxa"/>
            <w:tcBorders>
              <w:top w:val="nil"/>
              <w:left w:val="nil"/>
              <w:bottom w:val="single" w:sz="4" w:space="0" w:color="auto"/>
              <w:right w:val="single" w:sz="4" w:space="0" w:color="auto"/>
            </w:tcBorders>
            <w:shd w:val="clear" w:color="auto" w:fill="auto"/>
            <w:vAlign w:val="center"/>
            <w:hideMark/>
          </w:tcPr>
          <w:p w14:paraId="72C044A7" w14:textId="77777777" w:rsidR="004E7812" w:rsidRPr="004E7812" w:rsidRDefault="00270274" w:rsidP="004E7812">
            <w:pPr>
              <w:jc w:val="right"/>
              <w:rPr>
                <w:rFonts w:cs="Arial"/>
                <w:color w:val="000000"/>
                <w:sz w:val="20"/>
              </w:rPr>
            </w:pPr>
            <w:r w:rsidRPr="004E7812">
              <w:rPr>
                <w:rFonts w:cs="Arial"/>
                <w:color w:val="000000"/>
                <w:sz w:val="20"/>
              </w:rPr>
              <w:t>0.121</w:t>
            </w:r>
          </w:p>
        </w:tc>
        <w:tc>
          <w:tcPr>
            <w:tcW w:w="1134" w:type="dxa"/>
            <w:tcBorders>
              <w:top w:val="nil"/>
              <w:left w:val="nil"/>
              <w:bottom w:val="single" w:sz="4" w:space="0" w:color="auto"/>
              <w:right w:val="single" w:sz="4" w:space="0" w:color="auto"/>
            </w:tcBorders>
            <w:shd w:val="clear" w:color="auto" w:fill="auto"/>
            <w:vAlign w:val="center"/>
            <w:hideMark/>
          </w:tcPr>
          <w:p w14:paraId="5516B7CC" w14:textId="77777777" w:rsidR="004E7812" w:rsidRPr="004E7812" w:rsidRDefault="00270274" w:rsidP="004E7812">
            <w:pPr>
              <w:jc w:val="right"/>
              <w:rPr>
                <w:rFonts w:cs="Arial"/>
                <w:color w:val="000000"/>
                <w:sz w:val="20"/>
              </w:rPr>
            </w:pPr>
            <w:r w:rsidRPr="004E7812">
              <w:rPr>
                <w:rFonts w:cs="Arial"/>
                <w:color w:val="000000"/>
                <w:sz w:val="20"/>
              </w:rPr>
              <w:t>0.121</w:t>
            </w:r>
          </w:p>
        </w:tc>
      </w:tr>
      <w:tr w:rsidR="00075097" w14:paraId="6F9F214F" w14:textId="77777777" w:rsidTr="004E7812">
        <w:trPr>
          <w:trHeight w:val="255"/>
        </w:trPr>
        <w:tc>
          <w:tcPr>
            <w:tcW w:w="3539" w:type="dxa"/>
            <w:tcBorders>
              <w:top w:val="nil"/>
              <w:left w:val="single" w:sz="4" w:space="0" w:color="auto"/>
              <w:bottom w:val="single" w:sz="4" w:space="0" w:color="auto"/>
              <w:right w:val="single" w:sz="4" w:space="0" w:color="auto"/>
            </w:tcBorders>
            <w:shd w:val="clear" w:color="auto" w:fill="auto"/>
            <w:vAlign w:val="bottom"/>
            <w:hideMark/>
          </w:tcPr>
          <w:p w14:paraId="0AC3B331" w14:textId="77777777" w:rsidR="004E7812" w:rsidRPr="004E7812" w:rsidRDefault="00270274" w:rsidP="004E7812">
            <w:pPr>
              <w:rPr>
                <w:rFonts w:cs="Arial"/>
                <w:color w:val="000000"/>
                <w:sz w:val="20"/>
              </w:rPr>
            </w:pPr>
            <w:r w:rsidRPr="004E7812">
              <w:rPr>
                <w:rFonts w:cs="Arial"/>
                <w:color w:val="000000"/>
                <w:sz w:val="20"/>
              </w:rPr>
              <w:t>8 CYP Returned Home</w:t>
            </w:r>
          </w:p>
        </w:tc>
        <w:tc>
          <w:tcPr>
            <w:tcW w:w="2126" w:type="dxa"/>
            <w:tcBorders>
              <w:top w:val="nil"/>
              <w:left w:val="nil"/>
              <w:bottom w:val="single" w:sz="4" w:space="0" w:color="auto"/>
              <w:right w:val="single" w:sz="4" w:space="0" w:color="auto"/>
            </w:tcBorders>
            <w:shd w:val="clear" w:color="auto" w:fill="auto"/>
            <w:vAlign w:val="center"/>
            <w:hideMark/>
          </w:tcPr>
          <w:p w14:paraId="10BE156D" w14:textId="77777777" w:rsidR="004E7812" w:rsidRPr="004E7812" w:rsidRDefault="00270274" w:rsidP="004E7812">
            <w:pPr>
              <w:rPr>
                <w:rFonts w:cs="Arial"/>
                <w:color w:val="000000"/>
                <w:sz w:val="20"/>
              </w:rPr>
            </w:pPr>
            <w:r w:rsidRPr="004E7812">
              <w:rPr>
                <w:rFonts w:cs="Arial"/>
                <w:color w:val="000000"/>
                <w:sz w:val="20"/>
              </w:rPr>
              <w:t>Saving</w:t>
            </w:r>
          </w:p>
        </w:tc>
        <w:tc>
          <w:tcPr>
            <w:tcW w:w="1134" w:type="dxa"/>
            <w:tcBorders>
              <w:top w:val="nil"/>
              <w:left w:val="nil"/>
              <w:bottom w:val="single" w:sz="4" w:space="0" w:color="auto"/>
              <w:right w:val="single" w:sz="4" w:space="0" w:color="auto"/>
            </w:tcBorders>
            <w:shd w:val="clear" w:color="auto" w:fill="auto"/>
            <w:vAlign w:val="center"/>
            <w:hideMark/>
          </w:tcPr>
          <w:p w14:paraId="6748BA08" w14:textId="77777777" w:rsidR="004E7812" w:rsidRPr="004E7812" w:rsidRDefault="00270274" w:rsidP="004E7812">
            <w:pPr>
              <w:jc w:val="right"/>
              <w:rPr>
                <w:rFonts w:cs="Arial"/>
                <w:color w:val="000000"/>
                <w:sz w:val="20"/>
              </w:rPr>
            </w:pPr>
            <w:r w:rsidRPr="004E7812">
              <w:rPr>
                <w:rFonts w:cs="Arial"/>
                <w:color w:val="000000"/>
                <w:sz w:val="20"/>
              </w:rPr>
              <w:t>0.000</w:t>
            </w:r>
          </w:p>
        </w:tc>
        <w:tc>
          <w:tcPr>
            <w:tcW w:w="1134" w:type="dxa"/>
            <w:tcBorders>
              <w:top w:val="nil"/>
              <w:left w:val="nil"/>
              <w:bottom w:val="single" w:sz="4" w:space="0" w:color="auto"/>
              <w:right w:val="single" w:sz="4" w:space="0" w:color="auto"/>
            </w:tcBorders>
            <w:shd w:val="clear" w:color="auto" w:fill="auto"/>
            <w:vAlign w:val="center"/>
            <w:hideMark/>
          </w:tcPr>
          <w:p w14:paraId="6C15B107" w14:textId="77777777" w:rsidR="004E7812" w:rsidRPr="004E7812" w:rsidRDefault="00270274" w:rsidP="004E7812">
            <w:pPr>
              <w:jc w:val="right"/>
              <w:rPr>
                <w:rFonts w:cs="Arial"/>
                <w:color w:val="000000"/>
                <w:sz w:val="20"/>
              </w:rPr>
            </w:pPr>
            <w:r w:rsidRPr="004E7812">
              <w:rPr>
                <w:rFonts w:cs="Arial"/>
                <w:color w:val="000000"/>
                <w:sz w:val="20"/>
              </w:rPr>
              <w:t>0.140</w:t>
            </w:r>
          </w:p>
        </w:tc>
        <w:tc>
          <w:tcPr>
            <w:tcW w:w="1134" w:type="dxa"/>
            <w:tcBorders>
              <w:top w:val="nil"/>
              <w:left w:val="nil"/>
              <w:bottom w:val="single" w:sz="4" w:space="0" w:color="auto"/>
              <w:right w:val="single" w:sz="4" w:space="0" w:color="auto"/>
            </w:tcBorders>
            <w:shd w:val="clear" w:color="auto" w:fill="auto"/>
            <w:vAlign w:val="center"/>
            <w:hideMark/>
          </w:tcPr>
          <w:p w14:paraId="17353782" w14:textId="77777777" w:rsidR="004E7812" w:rsidRPr="004E7812" w:rsidRDefault="00270274" w:rsidP="004E7812">
            <w:pPr>
              <w:jc w:val="right"/>
              <w:rPr>
                <w:rFonts w:cs="Arial"/>
                <w:color w:val="000000"/>
                <w:sz w:val="20"/>
              </w:rPr>
            </w:pPr>
            <w:r w:rsidRPr="004E7812">
              <w:rPr>
                <w:rFonts w:cs="Arial"/>
                <w:color w:val="000000"/>
                <w:sz w:val="20"/>
              </w:rPr>
              <w:t>0.253</w:t>
            </w:r>
          </w:p>
        </w:tc>
      </w:tr>
      <w:tr w:rsidR="00075097" w14:paraId="32F1F843" w14:textId="77777777" w:rsidTr="004E7812">
        <w:trPr>
          <w:trHeight w:val="255"/>
        </w:trPr>
        <w:tc>
          <w:tcPr>
            <w:tcW w:w="3539" w:type="dxa"/>
            <w:tcBorders>
              <w:top w:val="nil"/>
              <w:left w:val="single" w:sz="4" w:space="0" w:color="auto"/>
              <w:bottom w:val="single" w:sz="4" w:space="0" w:color="auto"/>
              <w:right w:val="single" w:sz="4" w:space="0" w:color="auto"/>
            </w:tcBorders>
            <w:shd w:val="clear" w:color="000000" w:fill="BFBFBF"/>
            <w:noWrap/>
            <w:vAlign w:val="bottom"/>
            <w:hideMark/>
          </w:tcPr>
          <w:p w14:paraId="46CDBE8C" w14:textId="77777777" w:rsidR="004E7812" w:rsidRPr="004E7812" w:rsidRDefault="00270274" w:rsidP="004E7812">
            <w:pPr>
              <w:rPr>
                <w:rFonts w:cs="Arial"/>
                <w:b/>
                <w:bCs/>
                <w:color w:val="000000"/>
                <w:sz w:val="20"/>
              </w:rPr>
            </w:pPr>
            <w:r w:rsidRPr="004E7812">
              <w:rPr>
                <w:rFonts w:cs="Arial"/>
                <w:b/>
                <w:bCs/>
                <w:color w:val="000000"/>
                <w:sz w:val="20"/>
              </w:rPr>
              <w:t>Anticipated Costs Prevented/Savings</w:t>
            </w:r>
          </w:p>
        </w:tc>
        <w:tc>
          <w:tcPr>
            <w:tcW w:w="2126" w:type="dxa"/>
            <w:tcBorders>
              <w:top w:val="nil"/>
              <w:left w:val="nil"/>
              <w:bottom w:val="single" w:sz="4" w:space="0" w:color="auto"/>
              <w:right w:val="single" w:sz="4" w:space="0" w:color="auto"/>
            </w:tcBorders>
            <w:shd w:val="clear" w:color="000000" w:fill="BFBFBF"/>
            <w:noWrap/>
            <w:vAlign w:val="bottom"/>
            <w:hideMark/>
          </w:tcPr>
          <w:p w14:paraId="5E13DB99" w14:textId="77777777" w:rsidR="004E7812" w:rsidRPr="004E7812" w:rsidRDefault="00270274" w:rsidP="004E7812">
            <w:pPr>
              <w:rPr>
                <w:rFonts w:cs="Arial"/>
                <w:b/>
                <w:bCs/>
                <w:color w:val="000000"/>
                <w:sz w:val="20"/>
              </w:rPr>
            </w:pPr>
            <w:r w:rsidRPr="004E7812">
              <w:rPr>
                <w:rFonts w:cs="Arial"/>
                <w:b/>
                <w:bCs/>
                <w:color w:val="000000"/>
                <w:sz w:val="20"/>
              </w:rPr>
              <w:t> </w:t>
            </w:r>
          </w:p>
        </w:tc>
        <w:tc>
          <w:tcPr>
            <w:tcW w:w="1134" w:type="dxa"/>
            <w:tcBorders>
              <w:top w:val="nil"/>
              <w:left w:val="nil"/>
              <w:bottom w:val="single" w:sz="4" w:space="0" w:color="auto"/>
              <w:right w:val="single" w:sz="4" w:space="0" w:color="auto"/>
            </w:tcBorders>
            <w:shd w:val="clear" w:color="000000" w:fill="BFBFBF"/>
            <w:noWrap/>
            <w:vAlign w:val="bottom"/>
            <w:hideMark/>
          </w:tcPr>
          <w:p w14:paraId="3ADC5526" w14:textId="77777777" w:rsidR="004E7812" w:rsidRPr="004E7812" w:rsidRDefault="00270274" w:rsidP="004E7812">
            <w:pPr>
              <w:jc w:val="right"/>
              <w:rPr>
                <w:rFonts w:cs="Arial"/>
                <w:b/>
                <w:bCs/>
                <w:color w:val="000000"/>
                <w:sz w:val="20"/>
              </w:rPr>
            </w:pPr>
            <w:r w:rsidRPr="004E7812">
              <w:rPr>
                <w:rFonts w:cs="Arial"/>
                <w:b/>
                <w:bCs/>
                <w:color w:val="000000"/>
                <w:sz w:val="20"/>
              </w:rPr>
              <w:t>0.111</w:t>
            </w:r>
          </w:p>
        </w:tc>
        <w:tc>
          <w:tcPr>
            <w:tcW w:w="1134" w:type="dxa"/>
            <w:tcBorders>
              <w:top w:val="nil"/>
              <w:left w:val="nil"/>
              <w:bottom w:val="single" w:sz="4" w:space="0" w:color="auto"/>
              <w:right w:val="single" w:sz="4" w:space="0" w:color="auto"/>
            </w:tcBorders>
            <w:shd w:val="clear" w:color="000000" w:fill="BFBFBF"/>
            <w:noWrap/>
            <w:vAlign w:val="bottom"/>
            <w:hideMark/>
          </w:tcPr>
          <w:p w14:paraId="31BB611B" w14:textId="77777777" w:rsidR="004E7812" w:rsidRPr="004E7812" w:rsidRDefault="00270274" w:rsidP="004E7812">
            <w:pPr>
              <w:jc w:val="right"/>
              <w:rPr>
                <w:rFonts w:cs="Arial"/>
                <w:b/>
                <w:bCs/>
                <w:color w:val="000000"/>
                <w:sz w:val="20"/>
              </w:rPr>
            </w:pPr>
            <w:r w:rsidRPr="004E7812">
              <w:rPr>
                <w:rFonts w:cs="Arial"/>
                <w:b/>
                <w:bCs/>
                <w:color w:val="000000"/>
                <w:sz w:val="20"/>
              </w:rPr>
              <w:t>2.40</w:t>
            </w:r>
            <w:r>
              <w:rPr>
                <w:rFonts w:cs="Arial"/>
                <w:b/>
                <w:bCs/>
                <w:color w:val="000000"/>
                <w:sz w:val="20"/>
              </w:rPr>
              <w:t>5</w:t>
            </w:r>
          </w:p>
        </w:tc>
        <w:tc>
          <w:tcPr>
            <w:tcW w:w="1134" w:type="dxa"/>
            <w:tcBorders>
              <w:top w:val="nil"/>
              <w:left w:val="nil"/>
              <w:bottom w:val="single" w:sz="4" w:space="0" w:color="auto"/>
              <w:right w:val="single" w:sz="4" w:space="0" w:color="auto"/>
            </w:tcBorders>
            <w:shd w:val="clear" w:color="000000" w:fill="BFBFBF"/>
            <w:noWrap/>
            <w:vAlign w:val="bottom"/>
            <w:hideMark/>
          </w:tcPr>
          <w:p w14:paraId="7C891B87" w14:textId="77777777" w:rsidR="004E7812" w:rsidRPr="004E7812" w:rsidRDefault="00270274" w:rsidP="004E7812">
            <w:pPr>
              <w:jc w:val="right"/>
              <w:rPr>
                <w:rFonts w:cs="Arial"/>
                <w:b/>
                <w:bCs/>
                <w:color w:val="000000"/>
                <w:sz w:val="20"/>
              </w:rPr>
            </w:pPr>
            <w:r>
              <w:rPr>
                <w:rFonts w:cs="Arial"/>
                <w:b/>
                <w:bCs/>
                <w:color w:val="000000"/>
                <w:sz w:val="20"/>
              </w:rPr>
              <w:t>3.559</w:t>
            </w:r>
          </w:p>
        </w:tc>
      </w:tr>
    </w:tbl>
    <w:p w14:paraId="07CE03AD" w14:textId="77777777" w:rsidR="0025748C" w:rsidRDefault="00042BBA" w:rsidP="00126DA5">
      <w:pPr>
        <w:autoSpaceDE w:val="0"/>
        <w:autoSpaceDN w:val="0"/>
        <w:adjustRightInd w:val="0"/>
        <w:ind w:right="254"/>
        <w:jc w:val="both"/>
        <w:rPr>
          <w:rFonts w:eastAsia="Calibri" w:cs="Arial"/>
          <w:bCs/>
          <w:szCs w:val="24"/>
          <w:lang w:eastAsia="en-US"/>
        </w:rPr>
      </w:pPr>
    </w:p>
    <w:p w14:paraId="056FB574" w14:textId="77777777" w:rsidR="00126DA5" w:rsidRPr="00126DA5" w:rsidRDefault="00270274" w:rsidP="00126DA5">
      <w:pPr>
        <w:autoSpaceDE w:val="0"/>
        <w:autoSpaceDN w:val="0"/>
        <w:adjustRightInd w:val="0"/>
        <w:ind w:right="254"/>
        <w:jc w:val="both"/>
        <w:rPr>
          <w:rFonts w:eastAsia="Calibri" w:cs="Arial"/>
          <w:bCs/>
          <w:szCs w:val="24"/>
          <w:lang w:eastAsia="en-US"/>
        </w:rPr>
      </w:pPr>
      <w:r w:rsidRPr="00126DA5">
        <w:rPr>
          <w:rFonts w:eastAsia="Calibri" w:cs="Arial"/>
          <w:bCs/>
          <w:szCs w:val="24"/>
          <w:lang w:eastAsia="en-US"/>
        </w:rPr>
        <w:t xml:space="preserve">Whilst it is anticipated that </w:t>
      </w:r>
      <w:r>
        <w:rPr>
          <w:rFonts w:eastAsia="Calibri" w:cs="Arial"/>
          <w:bCs/>
          <w:szCs w:val="24"/>
          <w:lang w:eastAsia="en-US"/>
        </w:rPr>
        <w:t>the O</w:t>
      </w:r>
      <w:r w:rsidRPr="00126DA5">
        <w:rPr>
          <w:rFonts w:eastAsia="Calibri" w:cs="Arial"/>
          <w:bCs/>
          <w:szCs w:val="24"/>
          <w:lang w:eastAsia="en-US"/>
        </w:rPr>
        <w:t>utreach</w:t>
      </w:r>
      <w:r>
        <w:rPr>
          <w:rFonts w:eastAsia="Calibri" w:cs="Arial"/>
          <w:bCs/>
          <w:szCs w:val="24"/>
          <w:lang w:eastAsia="en-US"/>
        </w:rPr>
        <w:t xml:space="preserve"> Service</w:t>
      </w:r>
      <w:r w:rsidRPr="00126DA5">
        <w:rPr>
          <w:rFonts w:eastAsia="Calibri" w:cs="Arial"/>
          <w:bCs/>
          <w:szCs w:val="24"/>
          <w:lang w:eastAsia="en-US"/>
        </w:rPr>
        <w:t xml:space="preserve"> will prioritise targeting Section 20 CYP in agency residential provision, the figures </w:t>
      </w:r>
      <w:r>
        <w:rPr>
          <w:rFonts w:eastAsia="Calibri" w:cs="Arial"/>
          <w:bCs/>
          <w:szCs w:val="24"/>
          <w:lang w:eastAsia="en-US"/>
        </w:rPr>
        <w:t>above</w:t>
      </w:r>
      <w:r w:rsidRPr="00126DA5">
        <w:rPr>
          <w:rFonts w:eastAsia="Calibri" w:cs="Arial"/>
          <w:bCs/>
          <w:szCs w:val="24"/>
          <w:lang w:eastAsia="en-US"/>
        </w:rPr>
        <w:t xml:space="preserve"> are based on a weighted a</w:t>
      </w:r>
      <w:r>
        <w:rPr>
          <w:rFonts w:eastAsia="Calibri" w:cs="Arial"/>
          <w:bCs/>
          <w:szCs w:val="24"/>
          <w:lang w:eastAsia="en-US"/>
        </w:rPr>
        <w:t xml:space="preserve">verage ('blended') cost (£1,438 per </w:t>
      </w:r>
      <w:r w:rsidRPr="00126DA5">
        <w:rPr>
          <w:rFonts w:eastAsia="Calibri" w:cs="Arial"/>
          <w:bCs/>
          <w:szCs w:val="24"/>
          <w:lang w:eastAsia="en-US"/>
        </w:rPr>
        <w:t xml:space="preserve">week) of different placement types and </w:t>
      </w:r>
      <w:r>
        <w:rPr>
          <w:rFonts w:eastAsia="Calibri" w:cs="Arial"/>
          <w:bCs/>
          <w:szCs w:val="24"/>
          <w:lang w:eastAsia="en-US"/>
        </w:rPr>
        <w:t xml:space="preserve">the </w:t>
      </w:r>
      <w:r w:rsidRPr="00126DA5">
        <w:rPr>
          <w:rFonts w:eastAsia="Calibri" w:cs="Arial"/>
          <w:bCs/>
          <w:szCs w:val="24"/>
          <w:lang w:eastAsia="en-US"/>
        </w:rPr>
        <w:t xml:space="preserve">average duration of Section 20 placements </w:t>
      </w:r>
      <w:r>
        <w:rPr>
          <w:rFonts w:eastAsia="Calibri" w:cs="Arial"/>
          <w:bCs/>
          <w:szCs w:val="24"/>
          <w:lang w:eastAsia="en-US"/>
        </w:rPr>
        <w:t>(62</w:t>
      </w:r>
      <w:r w:rsidRPr="00126DA5">
        <w:rPr>
          <w:rFonts w:eastAsia="Calibri" w:cs="Arial"/>
          <w:bCs/>
          <w:szCs w:val="24"/>
          <w:lang w:eastAsia="en-US"/>
        </w:rPr>
        <w:t xml:space="preserve"> weeks).</w:t>
      </w:r>
    </w:p>
    <w:p w14:paraId="2990E00F" w14:textId="77777777" w:rsidR="00970903" w:rsidRDefault="00042BBA" w:rsidP="00C055A0"/>
    <w:p w14:paraId="35F06CC7" w14:textId="77777777" w:rsidR="000E066C" w:rsidRDefault="00270274" w:rsidP="00C055A0">
      <w:r>
        <w:t>The table below shows the anticipated net cost/savings resulting from this proposal.</w:t>
      </w:r>
    </w:p>
    <w:p w14:paraId="6389D326" w14:textId="77777777" w:rsidR="000E066C" w:rsidRDefault="00042BBA" w:rsidP="00C055A0"/>
    <w:tbl>
      <w:tblPr>
        <w:tblW w:w="8300" w:type="dxa"/>
        <w:tblLook w:val="04A0" w:firstRow="1" w:lastRow="0" w:firstColumn="1" w:lastColumn="0" w:noHBand="0" w:noVBand="1"/>
      </w:tblPr>
      <w:tblGrid>
        <w:gridCol w:w="4280"/>
        <w:gridCol w:w="1340"/>
        <w:gridCol w:w="1340"/>
        <w:gridCol w:w="1340"/>
      </w:tblGrid>
      <w:tr w:rsidR="00075097" w14:paraId="03C3A6AF" w14:textId="77777777" w:rsidTr="004E7812">
        <w:trPr>
          <w:trHeight w:val="510"/>
        </w:trPr>
        <w:tc>
          <w:tcPr>
            <w:tcW w:w="4280" w:type="dxa"/>
            <w:tcBorders>
              <w:top w:val="single" w:sz="4" w:space="0" w:color="auto"/>
              <w:left w:val="single" w:sz="4" w:space="0" w:color="auto"/>
              <w:bottom w:val="single" w:sz="4" w:space="0" w:color="auto"/>
              <w:right w:val="nil"/>
            </w:tcBorders>
            <w:shd w:val="clear" w:color="000000" w:fill="BFBFBF"/>
            <w:vAlign w:val="bottom"/>
            <w:hideMark/>
          </w:tcPr>
          <w:p w14:paraId="3976563C" w14:textId="77777777" w:rsidR="004E7812" w:rsidRPr="004E7812" w:rsidRDefault="00270274" w:rsidP="004E7812">
            <w:pPr>
              <w:jc w:val="center"/>
              <w:rPr>
                <w:rFonts w:cs="Arial"/>
                <w:b/>
                <w:bCs/>
                <w:color w:val="000000"/>
                <w:sz w:val="20"/>
              </w:rPr>
            </w:pPr>
            <w:r w:rsidRPr="004E7812">
              <w:rPr>
                <w:rFonts w:cs="Arial"/>
                <w:b/>
                <w:bCs/>
                <w:color w:val="000000"/>
                <w:sz w:val="20"/>
              </w:rPr>
              <w:t> </w:t>
            </w:r>
          </w:p>
        </w:tc>
        <w:tc>
          <w:tcPr>
            <w:tcW w:w="1340"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0BD71830" w14:textId="77777777" w:rsidR="004E7812" w:rsidRPr="004E7812" w:rsidRDefault="00270274" w:rsidP="004E7812">
            <w:pPr>
              <w:jc w:val="center"/>
              <w:rPr>
                <w:rFonts w:cs="Arial"/>
                <w:b/>
                <w:bCs/>
                <w:color w:val="000000"/>
                <w:sz w:val="20"/>
              </w:rPr>
            </w:pPr>
            <w:r w:rsidRPr="004E7812">
              <w:rPr>
                <w:rFonts w:cs="Arial"/>
                <w:b/>
                <w:bCs/>
                <w:color w:val="000000"/>
                <w:sz w:val="20"/>
              </w:rPr>
              <w:t xml:space="preserve">2017/18 </w:t>
            </w:r>
            <w:r w:rsidRPr="004E7812">
              <w:rPr>
                <w:rFonts w:cs="Arial"/>
                <w:b/>
                <w:bCs/>
                <w:color w:val="000000"/>
                <w:sz w:val="20"/>
              </w:rPr>
              <w:br/>
              <w:t>£m</w:t>
            </w:r>
          </w:p>
        </w:tc>
        <w:tc>
          <w:tcPr>
            <w:tcW w:w="1340" w:type="dxa"/>
            <w:tcBorders>
              <w:top w:val="single" w:sz="4" w:space="0" w:color="auto"/>
              <w:left w:val="nil"/>
              <w:bottom w:val="single" w:sz="4" w:space="0" w:color="auto"/>
              <w:right w:val="single" w:sz="4" w:space="0" w:color="auto"/>
            </w:tcBorders>
            <w:shd w:val="clear" w:color="000000" w:fill="BFBFBF"/>
            <w:vAlign w:val="bottom"/>
            <w:hideMark/>
          </w:tcPr>
          <w:p w14:paraId="55C79B7D" w14:textId="77777777" w:rsidR="004E7812" w:rsidRPr="004E7812" w:rsidRDefault="00270274" w:rsidP="004E7812">
            <w:pPr>
              <w:jc w:val="center"/>
              <w:rPr>
                <w:rFonts w:cs="Arial"/>
                <w:b/>
                <w:bCs/>
                <w:color w:val="000000"/>
                <w:sz w:val="20"/>
              </w:rPr>
            </w:pPr>
            <w:r w:rsidRPr="004E7812">
              <w:rPr>
                <w:rFonts w:cs="Arial"/>
                <w:b/>
                <w:bCs/>
                <w:color w:val="000000"/>
                <w:sz w:val="20"/>
              </w:rPr>
              <w:t xml:space="preserve">2018/19 </w:t>
            </w:r>
            <w:r w:rsidRPr="004E7812">
              <w:rPr>
                <w:rFonts w:cs="Arial"/>
                <w:b/>
                <w:bCs/>
                <w:color w:val="000000"/>
                <w:sz w:val="20"/>
              </w:rPr>
              <w:br/>
              <w:t>£m</w:t>
            </w:r>
          </w:p>
        </w:tc>
        <w:tc>
          <w:tcPr>
            <w:tcW w:w="1340" w:type="dxa"/>
            <w:tcBorders>
              <w:top w:val="single" w:sz="4" w:space="0" w:color="auto"/>
              <w:left w:val="nil"/>
              <w:bottom w:val="single" w:sz="4" w:space="0" w:color="auto"/>
              <w:right w:val="single" w:sz="4" w:space="0" w:color="auto"/>
            </w:tcBorders>
            <w:shd w:val="clear" w:color="000000" w:fill="BFBFBF"/>
            <w:vAlign w:val="bottom"/>
            <w:hideMark/>
          </w:tcPr>
          <w:p w14:paraId="65A4F123" w14:textId="77777777" w:rsidR="004E7812" w:rsidRPr="004E7812" w:rsidRDefault="00270274" w:rsidP="004E7812">
            <w:pPr>
              <w:jc w:val="center"/>
              <w:rPr>
                <w:rFonts w:cs="Arial"/>
                <w:b/>
                <w:bCs/>
                <w:color w:val="000000"/>
                <w:sz w:val="20"/>
              </w:rPr>
            </w:pPr>
            <w:r w:rsidRPr="004E7812">
              <w:rPr>
                <w:rFonts w:cs="Arial"/>
                <w:b/>
                <w:bCs/>
                <w:color w:val="000000"/>
                <w:sz w:val="20"/>
              </w:rPr>
              <w:t xml:space="preserve">2019/20 </w:t>
            </w:r>
            <w:r w:rsidRPr="004E7812">
              <w:rPr>
                <w:rFonts w:cs="Arial"/>
                <w:b/>
                <w:bCs/>
                <w:color w:val="000000"/>
                <w:sz w:val="20"/>
              </w:rPr>
              <w:br/>
              <w:t>£m</w:t>
            </w:r>
          </w:p>
        </w:tc>
      </w:tr>
      <w:tr w:rsidR="00075097" w14:paraId="59954CEE" w14:textId="77777777" w:rsidTr="004E7812">
        <w:trPr>
          <w:trHeight w:val="255"/>
        </w:trPr>
        <w:tc>
          <w:tcPr>
            <w:tcW w:w="4280" w:type="dxa"/>
            <w:tcBorders>
              <w:top w:val="nil"/>
              <w:left w:val="single" w:sz="4" w:space="0" w:color="auto"/>
              <w:bottom w:val="single" w:sz="4" w:space="0" w:color="auto"/>
              <w:right w:val="nil"/>
            </w:tcBorders>
            <w:shd w:val="clear" w:color="auto" w:fill="auto"/>
            <w:noWrap/>
            <w:vAlign w:val="bottom"/>
            <w:hideMark/>
          </w:tcPr>
          <w:p w14:paraId="03DE2852" w14:textId="77777777" w:rsidR="004E7812" w:rsidRPr="004E7812" w:rsidRDefault="00270274" w:rsidP="004E7812">
            <w:pPr>
              <w:rPr>
                <w:rFonts w:cs="Arial"/>
                <w:color w:val="000000"/>
                <w:sz w:val="20"/>
              </w:rPr>
            </w:pPr>
            <w:r w:rsidRPr="004E7812">
              <w:rPr>
                <w:rFonts w:cs="Arial"/>
                <w:color w:val="000000"/>
                <w:sz w:val="20"/>
              </w:rPr>
              <w:t>Additional Funding Required</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7CBD93B9" w14:textId="77777777" w:rsidR="004E7812" w:rsidRPr="004E7812" w:rsidRDefault="00270274" w:rsidP="004E7812">
            <w:pPr>
              <w:jc w:val="right"/>
              <w:rPr>
                <w:rFonts w:cs="Arial"/>
                <w:color w:val="000000"/>
                <w:sz w:val="20"/>
              </w:rPr>
            </w:pPr>
            <w:r>
              <w:rPr>
                <w:rFonts w:cs="Arial"/>
                <w:color w:val="000000"/>
                <w:sz w:val="20"/>
              </w:rPr>
              <w:t>0.266</w:t>
            </w:r>
            <w:r w:rsidRPr="004E7812">
              <w:rPr>
                <w:rFonts w:cs="Arial"/>
                <w:color w:val="000000"/>
                <w:sz w:val="20"/>
              </w:rPr>
              <w:t xml:space="preserve"> </w:t>
            </w:r>
          </w:p>
        </w:tc>
        <w:tc>
          <w:tcPr>
            <w:tcW w:w="1340" w:type="dxa"/>
            <w:tcBorders>
              <w:top w:val="nil"/>
              <w:left w:val="nil"/>
              <w:bottom w:val="single" w:sz="4" w:space="0" w:color="auto"/>
              <w:right w:val="single" w:sz="4" w:space="0" w:color="auto"/>
            </w:tcBorders>
            <w:shd w:val="clear" w:color="auto" w:fill="auto"/>
            <w:noWrap/>
            <w:vAlign w:val="bottom"/>
            <w:hideMark/>
          </w:tcPr>
          <w:p w14:paraId="0FD91A6B" w14:textId="77777777" w:rsidR="004E7812" w:rsidRPr="004E7812" w:rsidRDefault="00270274" w:rsidP="008B0F9F">
            <w:pPr>
              <w:jc w:val="right"/>
              <w:rPr>
                <w:rFonts w:cs="Arial"/>
                <w:color w:val="000000"/>
                <w:sz w:val="20"/>
              </w:rPr>
            </w:pPr>
            <w:r w:rsidRPr="004E7812">
              <w:rPr>
                <w:rFonts w:cs="Arial"/>
                <w:color w:val="000000"/>
                <w:sz w:val="20"/>
              </w:rPr>
              <w:t>0.81</w:t>
            </w:r>
            <w:r>
              <w:rPr>
                <w:rFonts w:cs="Arial"/>
                <w:color w:val="000000"/>
                <w:sz w:val="20"/>
              </w:rPr>
              <w:t>1</w:t>
            </w:r>
            <w:r w:rsidRPr="004E7812">
              <w:rPr>
                <w:rFonts w:cs="Arial"/>
                <w:color w:val="000000"/>
                <w:sz w:val="20"/>
              </w:rPr>
              <w:t xml:space="preserve"> </w:t>
            </w:r>
          </w:p>
        </w:tc>
        <w:tc>
          <w:tcPr>
            <w:tcW w:w="1340" w:type="dxa"/>
            <w:tcBorders>
              <w:top w:val="nil"/>
              <w:left w:val="nil"/>
              <w:bottom w:val="single" w:sz="4" w:space="0" w:color="auto"/>
              <w:right w:val="single" w:sz="4" w:space="0" w:color="auto"/>
            </w:tcBorders>
            <w:shd w:val="clear" w:color="auto" w:fill="auto"/>
            <w:noWrap/>
            <w:vAlign w:val="bottom"/>
            <w:hideMark/>
          </w:tcPr>
          <w:p w14:paraId="16D7383D" w14:textId="77777777" w:rsidR="004E7812" w:rsidRPr="004E7812" w:rsidRDefault="00270274" w:rsidP="004E7812">
            <w:pPr>
              <w:jc w:val="right"/>
              <w:rPr>
                <w:rFonts w:cs="Arial"/>
                <w:color w:val="000000"/>
                <w:sz w:val="20"/>
              </w:rPr>
            </w:pPr>
            <w:r w:rsidRPr="004E7812">
              <w:rPr>
                <w:rFonts w:cs="Arial"/>
                <w:color w:val="000000"/>
                <w:sz w:val="20"/>
              </w:rPr>
              <w:t>0</w:t>
            </w:r>
            <w:r>
              <w:rPr>
                <w:rFonts w:cs="Arial"/>
                <w:color w:val="000000"/>
                <w:sz w:val="20"/>
              </w:rPr>
              <w:t>.811</w:t>
            </w:r>
            <w:r w:rsidRPr="004E7812">
              <w:rPr>
                <w:rFonts w:cs="Arial"/>
                <w:color w:val="000000"/>
                <w:sz w:val="20"/>
              </w:rPr>
              <w:t xml:space="preserve"> </w:t>
            </w:r>
          </w:p>
        </w:tc>
      </w:tr>
      <w:tr w:rsidR="00075097" w14:paraId="3371D332" w14:textId="77777777" w:rsidTr="004E7812">
        <w:trPr>
          <w:trHeight w:val="255"/>
        </w:trPr>
        <w:tc>
          <w:tcPr>
            <w:tcW w:w="4280" w:type="dxa"/>
            <w:tcBorders>
              <w:top w:val="nil"/>
              <w:left w:val="single" w:sz="4" w:space="0" w:color="auto"/>
              <w:bottom w:val="single" w:sz="4" w:space="0" w:color="auto"/>
              <w:right w:val="nil"/>
            </w:tcBorders>
            <w:shd w:val="clear" w:color="auto" w:fill="auto"/>
            <w:noWrap/>
            <w:vAlign w:val="bottom"/>
            <w:hideMark/>
          </w:tcPr>
          <w:p w14:paraId="4FB53F52" w14:textId="77777777" w:rsidR="004E7812" w:rsidRPr="004E7812" w:rsidRDefault="00270274" w:rsidP="004E7812">
            <w:pPr>
              <w:rPr>
                <w:rFonts w:cs="Arial"/>
                <w:color w:val="000000"/>
                <w:sz w:val="20"/>
              </w:rPr>
            </w:pPr>
            <w:r w:rsidRPr="004E7812">
              <w:rPr>
                <w:rFonts w:cs="Arial"/>
                <w:color w:val="000000"/>
                <w:sz w:val="20"/>
              </w:rPr>
              <w:t>Anticipated Savings</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774B061A" w14:textId="77777777" w:rsidR="004E7812" w:rsidRPr="004E7812" w:rsidRDefault="00270274" w:rsidP="004E7812">
            <w:pPr>
              <w:jc w:val="right"/>
              <w:rPr>
                <w:rFonts w:cs="Arial"/>
                <w:color w:val="000000"/>
                <w:sz w:val="20"/>
              </w:rPr>
            </w:pPr>
            <w:r w:rsidRPr="004E7812">
              <w:rPr>
                <w:rFonts w:cs="Arial"/>
                <w:color w:val="000000"/>
                <w:sz w:val="20"/>
              </w:rPr>
              <w:t xml:space="preserve">0.111 </w:t>
            </w:r>
          </w:p>
        </w:tc>
        <w:tc>
          <w:tcPr>
            <w:tcW w:w="1340" w:type="dxa"/>
            <w:tcBorders>
              <w:top w:val="nil"/>
              <w:left w:val="nil"/>
              <w:bottom w:val="single" w:sz="4" w:space="0" w:color="auto"/>
              <w:right w:val="single" w:sz="4" w:space="0" w:color="auto"/>
            </w:tcBorders>
            <w:shd w:val="clear" w:color="auto" w:fill="auto"/>
            <w:noWrap/>
            <w:vAlign w:val="bottom"/>
            <w:hideMark/>
          </w:tcPr>
          <w:p w14:paraId="14360112" w14:textId="77777777" w:rsidR="004E7812" w:rsidRPr="004E7812" w:rsidRDefault="00270274" w:rsidP="004E7812">
            <w:pPr>
              <w:jc w:val="right"/>
              <w:rPr>
                <w:rFonts w:cs="Arial"/>
                <w:color w:val="000000"/>
                <w:sz w:val="20"/>
              </w:rPr>
            </w:pPr>
            <w:r>
              <w:rPr>
                <w:rFonts w:cs="Arial"/>
                <w:color w:val="000000"/>
                <w:sz w:val="20"/>
              </w:rPr>
              <w:t>2.405</w:t>
            </w:r>
            <w:r w:rsidRPr="004E7812">
              <w:rPr>
                <w:rFonts w:cs="Arial"/>
                <w:color w:val="000000"/>
                <w:sz w:val="20"/>
              </w:rPr>
              <w:t xml:space="preserve"> </w:t>
            </w:r>
          </w:p>
        </w:tc>
        <w:tc>
          <w:tcPr>
            <w:tcW w:w="1340" w:type="dxa"/>
            <w:tcBorders>
              <w:top w:val="nil"/>
              <w:left w:val="nil"/>
              <w:bottom w:val="single" w:sz="4" w:space="0" w:color="auto"/>
              <w:right w:val="single" w:sz="4" w:space="0" w:color="auto"/>
            </w:tcBorders>
            <w:shd w:val="clear" w:color="auto" w:fill="auto"/>
            <w:noWrap/>
            <w:vAlign w:val="bottom"/>
            <w:hideMark/>
          </w:tcPr>
          <w:p w14:paraId="76D3B91F" w14:textId="77777777" w:rsidR="004E7812" w:rsidRPr="004E7812" w:rsidRDefault="00270274" w:rsidP="004E7812">
            <w:pPr>
              <w:jc w:val="right"/>
              <w:rPr>
                <w:rFonts w:cs="Arial"/>
                <w:color w:val="000000"/>
                <w:sz w:val="20"/>
              </w:rPr>
            </w:pPr>
            <w:r>
              <w:rPr>
                <w:rFonts w:cs="Arial"/>
                <w:color w:val="000000"/>
                <w:sz w:val="20"/>
              </w:rPr>
              <w:t>3.559</w:t>
            </w:r>
            <w:r w:rsidRPr="004E7812">
              <w:rPr>
                <w:rFonts w:cs="Arial"/>
                <w:color w:val="000000"/>
                <w:sz w:val="20"/>
              </w:rPr>
              <w:t xml:space="preserve"> </w:t>
            </w:r>
          </w:p>
        </w:tc>
      </w:tr>
      <w:tr w:rsidR="00075097" w14:paraId="6C96EDFC" w14:textId="77777777" w:rsidTr="004E7812">
        <w:trPr>
          <w:trHeight w:val="255"/>
        </w:trPr>
        <w:tc>
          <w:tcPr>
            <w:tcW w:w="4280" w:type="dxa"/>
            <w:tcBorders>
              <w:top w:val="nil"/>
              <w:left w:val="single" w:sz="4" w:space="0" w:color="auto"/>
              <w:bottom w:val="single" w:sz="4" w:space="0" w:color="auto"/>
              <w:right w:val="nil"/>
            </w:tcBorders>
            <w:shd w:val="clear" w:color="000000" w:fill="BFBFBF"/>
            <w:noWrap/>
            <w:vAlign w:val="bottom"/>
            <w:hideMark/>
          </w:tcPr>
          <w:p w14:paraId="30C00599" w14:textId="77777777" w:rsidR="004E7812" w:rsidRPr="004E7812" w:rsidRDefault="00270274" w:rsidP="004E7812">
            <w:pPr>
              <w:rPr>
                <w:rFonts w:cs="Arial"/>
                <w:b/>
                <w:bCs/>
                <w:color w:val="000000"/>
                <w:sz w:val="20"/>
              </w:rPr>
            </w:pPr>
            <w:r w:rsidRPr="004E7812">
              <w:rPr>
                <w:rFonts w:cs="Arial"/>
                <w:b/>
                <w:bCs/>
                <w:color w:val="000000"/>
                <w:sz w:val="20"/>
              </w:rPr>
              <w:t>Total</w:t>
            </w:r>
          </w:p>
        </w:tc>
        <w:tc>
          <w:tcPr>
            <w:tcW w:w="1340" w:type="dxa"/>
            <w:tcBorders>
              <w:top w:val="nil"/>
              <w:left w:val="single" w:sz="4" w:space="0" w:color="auto"/>
              <w:bottom w:val="single" w:sz="4" w:space="0" w:color="auto"/>
              <w:right w:val="single" w:sz="4" w:space="0" w:color="auto"/>
            </w:tcBorders>
            <w:shd w:val="clear" w:color="000000" w:fill="BFBFBF"/>
            <w:noWrap/>
            <w:vAlign w:val="bottom"/>
            <w:hideMark/>
          </w:tcPr>
          <w:p w14:paraId="51A38FA7" w14:textId="77777777" w:rsidR="004E7812" w:rsidRPr="004E7812" w:rsidRDefault="00270274" w:rsidP="008B0F9F">
            <w:pPr>
              <w:jc w:val="right"/>
              <w:rPr>
                <w:rFonts w:cs="Arial"/>
                <w:b/>
                <w:bCs/>
                <w:color w:val="000000"/>
                <w:sz w:val="20"/>
              </w:rPr>
            </w:pPr>
            <w:r w:rsidRPr="004E7812">
              <w:rPr>
                <w:rFonts w:cs="Arial"/>
                <w:b/>
                <w:bCs/>
                <w:color w:val="000000"/>
                <w:sz w:val="20"/>
              </w:rPr>
              <w:t>0.15</w:t>
            </w:r>
            <w:r>
              <w:rPr>
                <w:rFonts w:cs="Arial"/>
                <w:b/>
                <w:bCs/>
                <w:color w:val="000000"/>
                <w:sz w:val="20"/>
              </w:rPr>
              <w:t>5</w:t>
            </w:r>
            <w:r w:rsidRPr="004E7812">
              <w:rPr>
                <w:rFonts w:cs="Arial"/>
                <w:b/>
                <w:bCs/>
                <w:color w:val="000000"/>
                <w:sz w:val="20"/>
              </w:rPr>
              <w:t xml:space="preserve"> </w:t>
            </w:r>
          </w:p>
        </w:tc>
        <w:tc>
          <w:tcPr>
            <w:tcW w:w="1340" w:type="dxa"/>
            <w:tcBorders>
              <w:top w:val="nil"/>
              <w:left w:val="nil"/>
              <w:bottom w:val="single" w:sz="4" w:space="0" w:color="auto"/>
              <w:right w:val="single" w:sz="4" w:space="0" w:color="auto"/>
            </w:tcBorders>
            <w:shd w:val="clear" w:color="000000" w:fill="BFBFBF"/>
            <w:noWrap/>
            <w:vAlign w:val="bottom"/>
            <w:hideMark/>
          </w:tcPr>
          <w:p w14:paraId="0ACAE80A" w14:textId="77777777" w:rsidR="004E7812" w:rsidRPr="004E7812" w:rsidRDefault="00270274" w:rsidP="004E7812">
            <w:pPr>
              <w:jc w:val="right"/>
              <w:rPr>
                <w:rFonts w:cs="Arial"/>
                <w:b/>
                <w:bCs/>
                <w:color w:val="000000"/>
                <w:sz w:val="20"/>
              </w:rPr>
            </w:pPr>
            <w:r w:rsidRPr="004E7812">
              <w:rPr>
                <w:rFonts w:cs="Arial"/>
                <w:b/>
                <w:bCs/>
                <w:color w:val="FF0000"/>
                <w:sz w:val="20"/>
              </w:rPr>
              <w:t>-</w:t>
            </w:r>
            <w:r>
              <w:rPr>
                <w:rFonts w:cs="Arial"/>
                <w:b/>
                <w:bCs/>
                <w:color w:val="FF0000"/>
                <w:sz w:val="20"/>
              </w:rPr>
              <w:t>1.594</w:t>
            </w:r>
            <w:r w:rsidRPr="004E7812">
              <w:rPr>
                <w:rFonts w:cs="Arial"/>
                <w:b/>
                <w:bCs/>
                <w:color w:val="FF0000"/>
                <w:sz w:val="20"/>
              </w:rPr>
              <w:t xml:space="preserve"> </w:t>
            </w:r>
          </w:p>
        </w:tc>
        <w:tc>
          <w:tcPr>
            <w:tcW w:w="1340" w:type="dxa"/>
            <w:tcBorders>
              <w:top w:val="nil"/>
              <w:left w:val="nil"/>
              <w:bottom w:val="single" w:sz="4" w:space="0" w:color="auto"/>
              <w:right w:val="single" w:sz="4" w:space="0" w:color="auto"/>
            </w:tcBorders>
            <w:shd w:val="clear" w:color="000000" w:fill="BFBFBF"/>
            <w:noWrap/>
            <w:vAlign w:val="bottom"/>
            <w:hideMark/>
          </w:tcPr>
          <w:p w14:paraId="25349077" w14:textId="77777777" w:rsidR="004E7812" w:rsidRPr="004E7812" w:rsidRDefault="00270274" w:rsidP="008B0F9F">
            <w:pPr>
              <w:jc w:val="right"/>
              <w:rPr>
                <w:rFonts w:cs="Arial"/>
                <w:b/>
                <w:bCs/>
                <w:color w:val="000000"/>
                <w:sz w:val="20"/>
              </w:rPr>
            </w:pPr>
            <w:r>
              <w:rPr>
                <w:rFonts w:cs="Arial"/>
                <w:b/>
                <w:bCs/>
                <w:color w:val="FF0000"/>
                <w:sz w:val="20"/>
              </w:rPr>
              <w:t>-2.748</w:t>
            </w:r>
            <w:r w:rsidRPr="004E7812">
              <w:rPr>
                <w:rFonts w:cs="Arial"/>
                <w:b/>
                <w:bCs/>
                <w:color w:val="FF0000"/>
                <w:sz w:val="20"/>
              </w:rPr>
              <w:t xml:space="preserve"> </w:t>
            </w:r>
          </w:p>
        </w:tc>
      </w:tr>
    </w:tbl>
    <w:p w14:paraId="7534C4B2" w14:textId="77777777" w:rsidR="000E066C" w:rsidRDefault="00042BBA" w:rsidP="00C055A0"/>
    <w:p w14:paraId="046ACD17" w14:textId="77777777" w:rsidR="00C92BED" w:rsidRPr="00C92BED" w:rsidRDefault="00270274" w:rsidP="00C055A0">
      <w:pPr>
        <w:rPr>
          <w:b/>
        </w:rPr>
      </w:pPr>
      <w:r w:rsidRPr="00C92BED">
        <w:rPr>
          <w:b/>
        </w:rPr>
        <w:t>Financial Implications – In-house Residential Services</w:t>
      </w:r>
    </w:p>
    <w:p w14:paraId="104A988A" w14:textId="77777777" w:rsidR="00C92BED" w:rsidRDefault="00042BBA" w:rsidP="00C055A0"/>
    <w:p w14:paraId="18CAADEB" w14:textId="70F8CC2F" w:rsidR="00CD4607" w:rsidRDefault="00270274" w:rsidP="00CD4607">
      <w:r>
        <w:t xml:space="preserve">Reshaping the in-house residential service as detailed in Appendix B will maximise use of in-house provision as opposed to external residential provision and therefore improve the cost effectiveness of provision.  </w:t>
      </w:r>
    </w:p>
    <w:p w14:paraId="327EC44C" w14:textId="77777777" w:rsidR="00982EF0" w:rsidRDefault="00042BBA" w:rsidP="00CD4607"/>
    <w:p w14:paraId="443D6CBA" w14:textId="77777777" w:rsidR="00982EF0" w:rsidRDefault="00270274" w:rsidP="00CD4607">
      <w:r>
        <w:t>Additional costs are expected to be minimal and will be subject to ongoing review.</w:t>
      </w:r>
    </w:p>
    <w:p w14:paraId="0381029A" w14:textId="77777777" w:rsidR="00982EF0" w:rsidRDefault="00042BBA" w:rsidP="00CD4607"/>
    <w:p w14:paraId="074D780F" w14:textId="77777777" w:rsidR="00982EF0" w:rsidRDefault="00270274" w:rsidP="00CD4607">
      <w:r>
        <w:t>Savings from increased utilisation of in-house provision are expected to be £0.041m in 2017/18, £0.747m in 2018/19 and £0.995m in 2019/20 and beyond.</w:t>
      </w:r>
    </w:p>
    <w:p w14:paraId="42038E12" w14:textId="77777777" w:rsidR="00C92BED" w:rsidRDefault="00042BBA" w:rsidP="00C055A0"/>
    <w:tbl>
      <w:tblPr>
        <w:tblW w:w="9067" w:type="dxa"/>
        <w:tblLayout w:type="fixed"/>
        <w:tblLook w:val="04A0" w:firstRow="1" w:lastRow="0" w:firstColumn="1" w:lastColumn="0" w:noHBand="0" w:noVBand="1"/>
      </w:tblPr>
      <w:tblGrid>
        <w:gridCol w:w="3539"/>
        <w:gridCol w:w="2126"/>
        <w:gridCol w:w="1134"/>
        <w:gridCol w:w="1134"/>
        <w:gridCol w:w="1134"/>
      </w:tblGrid>
      <w:tr w:rsidR="00075097" w14:paraId="3994AFE1" w14:textId="77777777" w:rsidTr="0045731C">
        <w:trPr>
          <w:trHeight w:val="510"/>
        </w:trPr>
        <w:tc>
          <w:tcPr>
            <w:tcW w:w="3539"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1D6E3257" w14:textId="77777777" w:rsidR="00CD4607" w:rsidRPr="004E7812" w:rsidRDefault="00270274" w:rsidP="0045731C">
            <w:pPr>
              <w:jc w:val="center"/>
              <w:rPr>
                <w:rFonts w:cs="Arial"/>
                <w:b/>
                <w:bCs/>
                <w:color w:val="000000"/>
                <w:sz w:val="20"/>
              </w:rPr>
            </w:pPr>
            <w:r w:rsidRPr="004E7812">
              <w:rPr>
                <w:rFonts w:cs="Arial"/>
                <w:b/>
                <w:bCs/>
                <w:color w:val="000000"/>
                <w:sz w:val="20"/>
              </w:rPr>
              <w:t> </w:t>
            </w:r>
          </w:p>
        </w:tc>
        <w:tc>
          <w:tcPr>
            <w:tcW w:w="2126" w:type="dxa"/>
            <w:tcBorders>
              <w:top w:val="single" w:sz="4" w:space="0" w:color="auto"/>
              <w:left w:val="nil"/>
              <w:bottom w:val="single" w:sz="4" w:space="0" w:color="auto"/>
              <w:right w:val="single" w:sz="4" w:space="0" w:color="auto"/>
            </w:tcBorders>
            <w:shd w:val="clear" w:color="000000" w:fill="BFBFBF"/>
            <w:vAlign w:val="bottom"/>
            <w:hideMark/>
          </w:tcPr>
          <w:p w14:paraId="278DF95E" w14:textId="77777777" w:rsidR="00CD4607" w:rsidRPr="004E7812" w:rsidRDefault="00270274" w:rsidP="0045731C">
            <w:pPr>
              <w:jc w:val="center"/>
              <w:rPr>
                <w:rFonts w:cs="Arial"/>
                <w:b/>
                <w:bCs/>
                <w:color w:val="000000"/>
                <w:sz w:val="20"/>
              </w:rPr>
            </w:pPr>
            <w:r w:rsidRPr="004E7812">
              <w:rPr>
                <w:rFonts w:cs="Arial"/>
                <w:b/>
                <w:bCs/>
                <w:color w:val="000000"/>
                <w:sz w:val="20"/>
              </w:rPr>
              <w:t>Nature of Saving</w:t>
            </w:r>
          </w:p>
        </w:tc>
        <w:tc>
          <w:tcPr>
            <w:tcW w:w="1134" w:type="dxa"/>
            <w:tcBorders>
              <w:top w:val="single" w:sz="4" w:space="0" w:color="auto"/>
              <w:left w:val="nil"/>
              <w:bottom w:val="single" w:sz="4" w:space="0" w:color="auto"/>
              <w:right w:val="single" w:sz="4" w:space="0" w:color="auto"/>
            </w:tcBorders>
            <w:shd w:val="clear" w:color="000000" w:fill="BFBFBF"/>
            <w:vAlign w:val="bottom"/>
            <w:hideMark/>
          </w:tcPr>
          <w:p w14:paraId="0CA442C0" w14:textId="77777777" w:rsidR="00CD4607" w:rsidRPr="004E7812" w:rsidRDefault="00270274" w:rsidP="0045731C">
            <w:pPr>
              <w:jc w:val="center"/>
              <w:rPr>
                <w:rFonts w:cs="Arial"/>
                <w:b/>
                <w:bCs/>
                <w:color w:val="000000"/>
                <w:sz w:val="20"/>
              </w:rPr>
            </w:pPr>
            <w:r w:rsidRPr="004E7812">
              <w:rPr>
                <w:rFonts w:cs="Arial"/>
                <w:b/>
                <w:bCs/>
                <w:color w:val="000000"/>
                <w:sz w:val="20"/>
              </w:rPr>
              <w:t xml:space="preserve">2017/18 </w:t>
            </w:r>
            <w:r w:rsidRPr="004E7812">
              <w:rPr>
                <w:rFonts w:cs="Arial"/>
                <w:b/>
                <w:bCs/>
                <w:color w:val="000000"/>
                <w:sz w:val="20"/>
              </w:rPr>
              <w:br/>
              <w:t>£m</w:t>
            </w:r>
          </w:p>
        </w:tc>
        <w:tc>
          <w:tcPr>
            <w:tcW w:w="1134" w:type="dxa"/>
            <w:tcBorders>
              <w:top w:val="single" w:sz="4" w:space="0" w:color="auto"/>
              <w:left w:val="nil"/>
              <w:bottom w:val="single" w:sz="4" w:space="0" w:color="auto"/>
              <w:right w:val="single" w:sz="4" w:space="0" w:color="auto"/>
            </w:tcBorders>
            <w:shd w:val="clear" w:color="000000" w:fill="BFBFBF"/>
            <w:vAlign w:val="bottom"/>
            <w:hideMark/>
          </w:tcPr>
          <w:p w14:paraId="14A16AB0" w14:textId="77777777" w:rsidR="00CD4607" w:rsidRPr="004E7812" w:rsidRDefault="00270274" w:rsidP="0045731C">
            <w:pPr>
              <w:jc w:val="center"/>
              <w:rPr>
                <w:rFonts w:cs="Arial"/>
                <w:b/>
                <w:bCs/>
                <w:color w:val="000000"/>
                <w:sz w:val="20"/>
              </w:rPr>
            </w:pPr>
            <w:r w:rsidRPr="004E7812">
              <w:rPr>
                <w:rFonts w:cs="Arial"/>
                <w:b/>
                <w:bCs/>
                <w:color w:val="000000"/>
                <w:sz w:val="20"/>
              </w:rPr>
              <w:t xml:space="preserve">2018/19 </w:t>
            </w:r>
            <w:r w:rsidRPr="004E7812">
              <w:rPr>
                <w:rFonts w:cs="Arial"/>
                <w:b/>
                <w:bCs/>
                <w:color w:val="000000"/>
                <w:sz w:val="20"/>
              </w:rPr>
              <w:br/>
              <w:t>£m</w:t>
            </w:r>
          </w:p>
        </w:tc>
        <w:tc>
          <w:tcPr>
            <w:tcW w:w="1134" w:type="dxa"/>
            <w:tcBorders>
              <w:top w:val="single" w:sz="4" w:space="0" w:color="auto"/>
              <w:left w:val="nil"/>
              <w:bottom w:val="single" w:sz="4" w:space="0" w:color="auto"/>
              <w:right w:val="single" w:sz="4" w:space="0" w:color="auto"/>
            </w:tcBorders>
            <w:shd w:val="clear" w:color="000000" w:fill="BFBFBF"/>
            <w:vAlign w:val="bottom"/>
            <w:hideMark/>
          </w:tcPr>
          <w:p w14:paraId="0F86987D" w14:textId="77777777" w:rsidR="00CD4607" w:rsidRPr="004E7812" w:rsidRDefault="00270274" w:rsidP="0045731C">
            <w:pPr>
              <w:jc w:val="center"/>
              <w:rPr>
                <w:rFonts w:cs="Arial"/>
                <w:b/>
                <w:bCs/>
                <w:color w:val="000000"/>
                <w:sz w:val="20"/>
              </w:rPr>
            </w:pPr>
            <w:r w:rsidRPr="004E7812">
              <w:rPr>
                <w:rFonts w:cs="Arial"/>
                <w:b/>
                <w:bCs/>
                <w:color w:val="000000"/>
                <w:sz w:val="20"/>
              </w:rPr>
              <w:t xml:space="preserve">2019/20 </w:t>
            </w:r>
            <w:r w:rsidRPr="004E7812">
              <w:rPr>
                <w:rFonts w:cs="Arial"/>
                <w:b/>
                <w:bCs/>
                <w:color w:val="000000"/>
                <w:sz w:val="20"/>
              </w:rPr>
              <w:br/>
              <w:t>£m</w:t>
            </w:r>
          </w:p>
        </w:tc>
      </w:tr>
      <w:tr w:rsidR="00075097" w14:paraId="5C98D6F2" w14:textId="77777777" w:rsidTr="00C76666">
        <w:trPr>
          <w:trHeight w:val="255"/>
        </w:trPr>
        <w:tc>
          <w:tcPr>
            <w:tcW w:w="3539" w:type="dxa"/>
            <w:tcBorders>
              <w:top w:val="nil"/>
              <w:left w:val="single" w:sz="4" w:space="0" w:color="auto"/>
              <w:bottom w:val="single" w:sz="4" w:space="0" w:color="auto"/>
              <w:right w:val="single" w:sz="4" w:space="0" w:color="auto"/>
            </w:tcBorders>
            <w:shd w:val="clear" w:color="auto" w:fill="auto"/>
            <w:vAlign w:val="bottom"/>
            <w:hideMark/>
          </w:tcPr>
          <w:p w14:paraId="182C149F" w14:textId="77777777" w:rsidR="00CD4607" w:rsidRPr="004E7812" w:rsidRDefault="00270274" w:rsidP="0045731C">
            <w:pPr>
              <w:rPr>
                <w:rFonts w:cs="Arial"/>
                <w:color w:val="000000"/>
                <w:sz w:val="20"/>
              </w:rPr>
            </w:pPr>
            <w:r>
              <w:rPr>
                <w:rFonts w:cs="Arial"/>
                <w:color w:val="000000"/>
                <w:sz w:val="20"/>
              </w:rPr>
              <w:t>Increased Utilisation of In-house Provision</w:t>
            </w:r>
          </w:p>
        </w:tc>
        <w:tc>
          <w:tcPr>
            <w:tcW w:w="2126" w:type="dxa"/>
            <w:tcBorders>
              <w:top w:val="nil"/>
              <w:left w:val="nil"/>
              <w:bottom w:val="single" w:sz="4" w:space="0" w:color="auto"/>
              <w:right w:val="single" w:sz="4" w:space="0" w:color="auto"/>
            </w:tcBorders>
            <w:shd w:val="clear" w:color="auto" w:fill="auto"/>
            <w:vAlign w:val="center"/>
            <w:hideMark/>
          </w:tcPr>
          <w:p w14:paraId="6E1FCEFB" w14:textId="77777777" w:rsidR="00CD4607" w:rsidRPr="004E7812" w:rsidRDefault="00270274" w:rsidP="0045731C">
            <w:pPr>
              <w:rPr>
                <w:rFonts w:cs="Arial"/>
                <w:color w:val="000000"/>
                <w:sz w:val="20"/>
              </w:rPr>
            </w:pPr>
            <w:r>
              <w:rPr>
                <w:rFonts w:cs="Arial"/>
                <w:color w:val="000000"/>
                <w:sz w:val="20"/>
              </w:rPr>
              <w:t>Saving</w:t>
            </w:r>
          </w:p>
        </w:tc>
        <w:tc>
          <w:tcPr>
            <w:tcW w:w="1134" w:type="dxa"/>
            <w:tcBorders>
              <w:top w:val="nil"/>
              <w:left w:val="nil"/>
              <w:bottom w:val="single" w:sz="4" w:space="0" w:color="auto"/>
              <w:right w:val="single" w:sz="4" w:space="0" w:color="auto"/>
            </w:tcBorders>
            <w:shd w:val="clear" w:color="auto" w:fill="auto"/>
            <w:vAlign w:val="center"/>
            <w:hideMark/>
          </w:tcPr>
          <w:p w14:paraId="55546E5D" w14:textId="77777777" w:rsidR="00CD4607" w:rsidRPr="004E7812" w:rsidRDefault="00270274" w:rsidP="0045731C">
            <w:pPr>
              <w:jc w:val="right"/>
              <w:rPr>
                <w:rFonts w:cs="Arial"/>
                <w:color w:val="000000"/>
                <w:sz w:val="20"/>
              </w:rPr>
            </w:pPr>
            <w:r>
              <w:rPr>
                <w:rFonts w:cs="Arial"/>
                <w:color w:val="000000"/>
                <w:sz w:val="20"/>
              </w:rPr>
              <w:t>0.041</w:t>
            </w:r>
          </w:p>
        </w:tc>
        <w:tc>
          <w:tcPr>
            <w:tcW w:w="1134" w:type="dxa"/>
            <w:tcBorders>
              <w:top w:val="nil"/>
              <w:left w:val="nil"/>
              <w:bottom w:val="single" w:sz="4" w:space="0" w:color="auto"/>
              <w:right w:val="single" w:sz="4" w:space="0" w:color="auto"/>
            </w:tcBorders>
            <w:shd w:val="clear" w:color="auto" w:fill="auto"/>
            <w:vAlign w:val="center"/>
            <w:hideMark/>
          </w:tcPr>
          <w:p w14:paraId="231AD74E" w14:textId="77777777" w:rsidR="00CD4607" w:rsidRPr="004E7812" w:rsidRDefault="00270274" w:rsidP="0045731C">
            <w:pPr>
              <w:jc w:val="right"/>
              <w:rPr>
                <w:rFonts w:cs="Arial"/>
                <w:color w:val="000000"/>
                <w:sz w:val="20"/>
              </w:rPr>
            </w:pPr>
            <w:r>
              <w:rPr>
                <w:rFonts w:cs="Arial"/>
                <w:color w:val="000000"/>
                <w:sz w:val="20"/>
              </w:rPr>
              <w:t>0.747</w:t>
            </w:r>
          </w:p>
        </w:tc>
        <w:tc>
          <w:tcPr>
            <w:tcW w:w="1134" w:type="dxa"/>
            <w:tcBorders>
              <w:top w:val="nil"/>
              <w:left w:val="nil"/>
              <w:bottom w:val="single" w:sz="4" w:space="0" w:color="auto"/>
              <w:right w:val="single" w:sz="4" w:space="0" w:color="auto"/>
            </w:tcBorders>
            <w:shd w:val="clear" w:color="auto" w:fill="auto"/>
            <w:vAlign w:val="center"/>
            <w:hideMark/>
          </w:tcPr>
          <w:p w14:paraId="57C285EE" w14:textId="77777777" w:rsidR="00CD4607" w:rsidRPr="004E7812" w:rsidRDefault="00270274" w:rsidP="00C76666">
            <w:pPr>
              <w:jc w:val="right"/>
              <w:rPr>
                <w:rFonts w:cs="Arial"/>
                <w:color w:val="000000"/>
                <w:sz w:val="20"/>
              </w:rPr>
            </w:pPr>
            <w:r>
              <w:rPr>
                <w:rFonts w:cs="Arial"/>
                <w:color w:val="000000"/>
                <w:sz w:val="20"/>
              </w:rPr>
              <w:t>0.995</w:t>
            </w:r>
          </w:p>
        </w:tc>
      </w:tr>
      <w:tr w:rsidR="00075097" w14:paraId="166AAA42" w14:textId="77777777" w:rsidTr="0045731C">
        <w:trPr>
          <w:trHeight w:val="255"/>
        </w:trPr>
        <w:tc>
          <w:tcPr>
            <w:tcW w:w="3539" w:type="dxa"/>
            <w:tcBorders>
              <w:top w:val="nil"/>
              <w:left w:val="single" w:sz="4" w:space="0" w:color="auto"/>
              <w:bottom w:val="single" w:sz="4" w:space="0" w:color="auto"/>
              <w:right w:val="single" w:sz="4" w:space="0" w:color="auto"/>
            </w:tcBorders>
            <w:shd w:val="clear" w:color="000000" w:fill="BFBFBF"/>
            <w:noWrap/>
            <w:vAlign w:val="bottom"/>
            <w:hideMark/>
          </w:tcPr>
          <w:p w14:paraId="6E7AF9CC" w14:textId="77777777" w:rsidR="00CD4607" w:rsidRPr="004E7812" w:rsidRDefault="00270274" w:rsidP="0045731C">
            <w:pPr>
              <w:rPr>
                <w:rFonts w:cs="Arial"/>
                <w:b/>
                <w:bCs/>
                <w:color w:val="000000"/>
                <w:sz w:val="20"/>
              </w:rPr>
            </w:pPr>
            <w:r w:rsidRPr="004E7812">
              <w:rPr>
                <w:rFonts w:cs="Arial"/>
                <w:b/>
                <w:bCs/>
                <w:color w:val="000000"/>
                <w:sz w:val="20"/>
              </w:rPr>
              <w:t>Anticipated Costs Prevented/Savings</w:t>
            </w:r>
          </w:p>
        </w:tc>
        <w:tc>
          <w:tcPr>
            <w:tcW w:w="2126" w:type="dxa"/>
            <w:tcBorders>
              <w:top w:val="nil"/>
              <w:left w:val="nil"/>
              <w:bottom w:val="single" w:sz="4" w:space="0" w:color="auto"/>
              <w:right w:val="single" w:sz="4" w:space="0" w:color="auto"/>
            </w:tcBorders>
            <w:shd w:val="clear" w:color="000000" w:fill="BFBFBF"/>
            <w:noWrap/>
            <w:vAlign w:val="bottom"/>
            <w:hideMark/>
          </w:tcPr>
          <w:p w14:paraId="7ECDF8EC" w14:textId="77777777" w:rsidR="00CD4607" w:rsidRPr="004E7812" w:rsidRDefault="00270274" w:rsidP="0045731C">
            <w:pPr>
              <w:rPr>
                <w:rFonts w:cs="Arial"/>
                <w:b/>
                <w:bCs/>
                <w:color w:val="000000"/>
                <w:sz w:val="20"/>
              </w:rPr>
            </w:pPr>
            <w:r w:rsidRPr="004E7812">
              <w:rPr>
                <w:rFonts w:cs="Arial"/>
                <w:b/>
                <w:bCs/>
                <w:color w:val="000000"/>
                <w:sz w:val="20"/>
              </w:rPr>
              <w:t> </w:t>
            </w:r>
          </w:p>
        </w:tc>
        <w:tc>
          <w:tcPr>
            <w:tcW w:w="1134" w:type="dxa"/>
            <w:tcBorders>
              <w:top w:val="nil"/>
              <w:left w:val="nil"/>
              <w:bottom w:val="single" w:sz="4" w:space="0" w:color="auto"/>
              <w:right w:val="single" w:sz="4" w:space="0" w:color="auto"/>
            </w:tcBorders>
            <w:shd w:val="clear" w:color="000000" w:fill="BFBFBF"/>
            <w:noWrap/>
            <w:vAlign w:val="bottom"/>
            <w:hideMark/>
          </w:tcPr>
          <w:p w14:paraId="3ED372A4" w14:textId="77777777" w:rsidR="00CD4607" w:rsidRPr="004E7812" w:rsidRDefault="00270274" w:rsidP="0045731C">
            <w:pPr>
              <w:jc w:val="right"/>
              <w:rPr>
                <w:rFonts w:cs="Arial"/>
                <w:b/>
                <w:bCs/>
                <w:color w:val="000000"/>
                <w:sz w:val="20"/>
              </w:rPr>
            </w:pPr>
            <w:r>
              <w:rPr>
                <w:rFonts w:cs="Arial"/>
                <w:b/>
                <w:bCs/>
                <w:color w:val="000000"/>
                <w:sz w:val="20"/>
              </w:rPr>
              <w:t>0.041</w:t>
            </w:r>
          </w:p>
        </w:tc>
        <w:tc>
          <w:tcPr>
            <w:tcW w:w="1134" w:type="dxa"/>
            <w:tcBorders>
              <w:top w:val="nil"/>
              <w:left w:val="nil"/>
              <w:bottom w:val="single" w:sz="4" w:space="0" w:color="auto"/>
              <w:right w:val="single" w:sz="4" w:space="0" w:color="auto"/>
            </w:tcBorders>
            <w:shd w:val="clear" w:color="000000" w:fill="BFBFBF"/>
            <w:noWrap/>
            <w:vAlign w:val="bottom"/>
            <w:hideMark/>
          </w:tcPr>
          <w:p w14:paraId="50E1CFA0" w14:textId="77777777" w:rsidR="00CD4607" w:rsidRPr="004E7812" w:rsidRDefault="00270274" w:rsidP="0045731C">
            <w:pPr>
              <w:jc w:val="right"/>
              <w:rPr>
                <w:rFonts w:cs="Arial"/>
                <w:b/>
                <w:bCs/>
                <w:color w:val="000000"/>
                <w:sz w:val="20"/>
              </w:rPr>
            </w:pPr>
            <w:r>
              <w:rPr>
                <w:rFonts w:cs="Arial"/>
                <w:b/>
                <w:bCs/>
                <w:color w:val="000000"/>
                <w:sz w:val="20"/>
              </w:rPr>
              <w:t>0.747</w:t>
            </w:r>
          </w:p>
        </w:tc>
        <w:tc>
          <w:tcPr>
            <w:tcW w:w="1134" w:type="dxa"/>
            <w:tcBorders>
              <w:top w:val="nil"/>
              <w:left w:val="nil"/>
              <w:bottom w:val="single" w:sz="4" w:space="0" w:color="auto"/>
              <w:right w:val="single" w:sz="4" w:space="0" w:color="auto"/>
            </w:tcBorders>
            <w:shd w:val="clear" w:color="000000" w:fill="BFBFBF"/>
            <w:noWrap/>
            <w:vAlign w:val="bottom"/>
            <w:hideMark/>
          </w:tcPr>
          <w:p w14:paraId="01E702FF" w14:textId="77777777" w:rsidR="00CD4607" w:rsidRPr="004E7812" w:rsidRDefault="00270274" w:rsidP="0045731C">
            <w:pPr>
              <w:jc w:val="right"/>
              <w:rPr>
                <w:rFonts w:cs="Arial"/>
                <w:b/>
                <w:bCs/>
                <w:color w:val="000000"/>
                <w:sz w:val="20"/>
              </w:rPr>
            </w:pPr>
            <w:r>
              <w:rPr>
                <w:rFonts w:cs="Arial"/>
                <w:b/>
                <w:bCs/>
                <w:color w:val="000000"/>
                <w:sz w:val="20"/>
              </w:rPr>
              <w:t>0.995</w:t>
            </w:r>
          </w:p>
        </w:tc>
      </w:tr>
    </w:tbl>
    <w:p w14:paraId="1512739C" w14:textId="77777777" w:rsidR="00C92BED" w:rsidRDefault="00042BBA" w:rsidP="00C055A0"/>
    <w:p w14:paraId="7FE9D2AD" w14:textId="77777777" w:rsidR="00970903" w:rsidRDefault="00270274" w:rsidP="005E7868">
      <w:pPr>
        <w:jc w:val="both"/>
      </w:pPr>
      <w:r>
        <w:t>There are a number of risks associated with not implementing the strategy.  These include rising numbers of children becoming looked after and costs associated with this, lack of sufficient accommodation to meet the needs of Lancashire's Children Looked After, reputational risk of negative Ofsted judgements and lack of ability to place some of the most complex and vulnerable Young People in Lancashire.</w:t>
      </w:r>
    </w:p>
    <w:p w14:paraId="48444117" w14:textId="77777777" w:rsidR="00EC6E9B" w:rsidRDefault="00042BBA" w:rsidP="005E7868">
      <w:pPr>
        <w:jc w:val="both"/>
      </w:pPr>
    </w:p>
    <w:p w14:paraId="7D81EE23" w14:textId="77777777" w:rsidR="00270274" w:rsidRDefault="00270274" w:rsidP="005E7868">
      <w:pPr>
        <w:jc w:val="both"/>
      </w:pPr>
      <w:r w:rsidRPr="00282FB8">
        <w:rPr>
          <w:b/>
        </w:rPr>
        <w:t>Legal –</w:t>
      </w:r>
      <w:r>
        <w:t xml:space="preserve"> </w:t>
      </w:r>
      <w:r w:rsidR="00345264">
        <w:t xml:space="preserve">Local authorities are under a legal duty to secure </w:t>
      </w:r>
      <w:r w:rsidR="00432864">
        <w:t xml:space="preserve">where reasonably practicable sufficient accommodation for children looked after in their area (the "Sufficiency Duty").  The Sufficiency Duty encompasses a number of legal obligations set out in the Children Act 1989 including the duty to provide a range of services, to provide accommodation to children who cannot reside with their families and to ensure </w:t>
      </w:r>
      <w:r w:rsidR="00432864">
        <w:lastRenderedPageBreak/>
        <w:t xml:space="preserve">that children are placed in the most appropriate accommodation commensurate with their needs.  In order to meet these duties a local authority must have sufficient accommodation in its area in order to provide suitable placements.  This not only requires a range of providers but also access to different types of accommodation to meet the different needs to children at any given time.  </w:t>
      </w:r>
      <w:r w:rsidR="00BB124D">
        <w:t xml:space="preserve">Government </w:t>
      </w:r>
      <w:r w:rsidR="00432864">
        <w:t xml:space="preserve">guidance issued </w:t>
      </w:r>
      <w:r w:rsidR="00BB124D">
        <w:t xml:space="preserve"> in 2010 </w:t>
      </w:r>
      <w:r w:rsidR="00432864">
        <w:t xml:space="preserve">specifically states that local authorities should have in place a strategy for reducing constraints over time which may include building their own capacity.  </w:t>
      </w:r>
      <w:r w:rsidR="00BB124D">
        <w:t xml:space="preserve">The guidance also specifically referenced short term and emergency accommodation and points to a need for emergency stand by accommodation </w:t>
      </w:r>
      <w:r>
        <w:t>used with a view to avoiding longer term care.</w:t>
      </w:r>
    </w:p>
    <w:p w14:paraId="13BE2029" w14:textId="77777777" w:rsidR="00042BBA" w:rsidRDefault="00042BBA" w:rsidP="005E7868">
      <w:pPr>
        <w:jc w:val="both"/>
      </w:pPr>
    </w:p>
    <w:p w14:paraId="7C99AC4C" w14:textId="77777777" w:rsidR="00270274" w:rsidRDefault="00270274" w:rsidP="005E7868">
      <w:pPr>
        <w:jc w:val="both"/>
      </w:pPr>
      <w:r>
        <w:t>At present the County Council is at risk of not meeting the Sufficiency Duty.  The proposal in the report if approved would extend the range and type of accommodation available to the County Council in line with the Children Act 1989 and the 2010 guidance.</w:t>
      </w:r>
    </w:p>
    <w:p w14:paraId="2DC88709" w14:textId="7F15C46C" w:rsidR="00EC6E9B" w:rsidRDefault="00042BBA" w:rsidP="005E7868">
      <w:pPr>
        <w:jc w:val="both"/>
      </w:pPr>
    </w:p>
    <w:p w14:paraId="00F134BF" w14:textId="77777777" w:rsidR="00282FB8" w:rsidRDefault="00042BBA" w:rsidP="005E7868">
      <w:pPr>
        <w:jc w:val="both"/>
      </w:pPr>
    </w:p>
    <w:p w14:paraId="40813A02" w14:textId="77777777" w:rsidR="00282FB8" w:rsidRDefault="00270274" w:rsidP="005E7868">
      <w:pPr>
        <w:jc w:val="both"/>
      </w:pPr>
      <w:r w:rsidRPr="00282FB8">
        <w:rPr>
          <w:b/>
        </w:rPr>
        <w:t>Property Asset Management –</w:t>
      </w:r>
      <w:r>
        <w:t xml:space="preserve"> The strategy relies on the use of previously vacated Local Authority properties, one of which was previously identified for market release. </w:t>
      </w:r>
    </w:p>
    <w:p w14:paraId="389B4887" w14:textId="77777777" w:rsidR="00F3297C" w:rsidRPr="00F3297C" w:rsidRDefault="00042BBA" w:rsidP="005E7868">
      <w:pPr>
        <w:jc w:val="both"/>
      </w:pPr>
    </w:p>
    <w:p w14:paraId="383A3444" w14:textId="77777777" w:rsidR="00E75840" w:rsidRDefault="00270274">
      <w:pPr>
        <w:pStyle w:val="Heading5"/>
        <w:rPr>
          <w:rFonts w:ascii="Arial" w:hAnsi="Arial"/>
          <w:u w:val="none"/>
        </w:rPr>
      </w:pPr>
      <w:r>
        <w:rPr>
          <w:rFonts w:ascii="Arial" w:hAnsi="Arial"/>
          <w:u w:val="none"/>
        </w:rPr>
        <w:t>List of Background Papers</w:t>
      </w:r>
    </w:p>
    <w:p w14:paraId="2BF3EAA6" w14:textId="77777777" w:rsidR="00E75840" w:rsidRDefault="00042BBA"/>
    <w:tbl>
      <w:tblPr>
        <w:tblW w:w="0" w:type="auto"/>
        <w:tblLayout w:type="fixed"/>
        <w:tblLook w:val="0000" w:firstRow="0" w:lastRow="0" w:firstColumn="0" w:lastColumn="0" w:noHBand="0" w:noVBand="0"/>
      </w:tblPr>
      <w:tblGrid>
        <w:gridCol w:w="3510"/>
        <w:gridCol w:w="2492"/>
        <w:gridCol w:w="3178"/>
      </w:tblGrid>
      <w:tr w:rsidR="00075097" w14:paraId="6DA83BFD" w14:textId="77777777">
        <w:tc>
          <w:tcPr>
            <w:tcW w:w="3510" w:type="dxa"/>
          </w:tcPr>
          <w:p w14:paraId="477DA2E5" w14:textId="77777777" w:rsidR="00E75840" w:rsidRDefault="00270274">
            <w:pPr>
              <w:pStyle w:val="Heading7"/>
              <w:rPr>
                <w:rFonts w:ascii="Arial" w:hAnsi="Arial"/>
                <w:u w:val="none"/>
              </w:rPr>
            </w:pPr>
            <w:r>
              <w:rPr>
                <w:rFonts w:ascii="Arial" w:hAnsi="Arial"/>
                <w:u w:val="none"/>
              </w:rPr>
              <w:t>Paper</w:t>
            </w:r>
          </w:p>
        </w:tc>
        <w:tc>
          <w:tcPr>
            <w:tcW w:w="2492" w:type="dxa"/>
          </w:tcPr>
          <w:p w14:paraId="39DEF4B2" w14:textId="77777777" w:rsidR="00E75840" w:rsidRDefault="00270274">
            <w:pPr>
              <w:pStyle w:val="Heading7"/>
              <w:rPr>
                <w:rFonts w:ascii="Arial" w:hAnsi="Arial"/>
                <w:u w:val="none"/>
              </w:rPr>
            </w:pPr>
            <w:r>
              <w:rPr>
                <w:rFonts w:ascii="Arial" w:hAnsi="Arial"/>
                <w:u w:val="none"/>
              </w:rPr>
              <w:t>Date</w:t>
            </w:r>
          </w:p>
        </w:tc>
        <w:tc>
          <w:tcPr>
            <w:tcW w:w="3178" w:type="dxa"/>
          </w:tcPr>
          <w:p w14:paraId="395E31C6" w14:textId="77777777" w:rsidR="00E75840" w:rsidRDefault="00270274" w:rsidP="002C3389">
            <w:pPr>
              <w:pStyle w:val="Heading7"/>
              <w:rPr>
                <w:rFonts w:ascii="Arial" w:hAnsi="Arial"/>
                <w:u w:val="none"/>
              </w:rPr>
            </w:pPr>
            <w:r>
              <w:rPr>
                <w:rFonts w:ascii="Arial" w:hAnsi="Arial"/>
                <w:u w:val="none"/>
              </w:rPr>
              <w:t>Contact/Tel</w:t>
            </w:r>
          </w:p>
        </w:tc>
      </w:tr>
      <w:tr w:rsidR="00075097" w14:paraId="27F8EFC2" w14:textId="77777777">
        <w:tc>
          <w:tcPr>
            <w:tcW w:w="3510" w:type="dxa"/>
          </w:tcPr>
          <w:p w14:paraId="6A12488D" w14:textId="77777777" w:rsidR="00E75840" w:rsidRDefault="00042BBA"/>
          <w:p w14:paraId="5A763BF0" w14:textId="77777777" w:rsidR="00455945" w:rsidRDefault="00270274">
            <w:r>
              <w:t>None</w:t>
            </w:r>
          </w:p>
        </w:tc>
        <w:tc>
          <w:tcPr>
            <w:tcW w:w="2492" w:type="dxa"/>
          </w:tcPr>
          <w:p w14:paraId="04E6438D" w14:textId="77777777" w:rsidR="00E75840" w:rsidRDefault="00042BBA">
            <w:pPr>
              <w:pStyle w:val="Heading7"/>
              <w:rPr>
                <w:rFonts w:ascii="Arial" w:hAnsi="Arial"/>
                <w:u w:val="none"/>
              </w:rPr>
            </w:pPr>
          </w:p>
          <w:p w14:paraId="10BA3824" w14:textId="77777777" w:rsidR="00E75840" w:rsidRDefault="00042BBA"/>
        </w:tc>
        <w:tc>
          <w:tcPr>
            <w:tcW w:w="3178" w:type="dxa"/>
          </w:tcPr>
          <w:p w14:paraId="53086E3B" w14:textId="77777777" w:rsidR="00E75840" w:rsidRDefault="00042BBA"/>
          <w:p w14:paraId="0579AD45" w14:textId="77777777" w:rsidR="003F7A6F" w:rsidRDefault="00042BBA" w:rsidP="006815DD"/>
        </w:tc>
      </w:tr>
      <w:tr w:rsidR="00075097" w14:paraId="430DD746" w14:textId="77777777">
        <w:trPr>
          <w:cantSplit/>
        </w:trPr>
        <w:tc>
          <w:tcPr>
            <w:tcW w:w="9180" w:type="dxa"/>
            <w:gridSpan w:val="3"/>
          </w:tcPr>
          <w:p w14:paraId="1412A817" w14:textId="77777777" w:rsidR="00E75840" w:rsidRDefault="00042BBA"/>
          <w:p w14:paraId="2AC74031" w14:textId="77777777" w:rsidR="00EA09B5" w:rsidRDefault="00270274">
            <w:r>
              <w:t>Reason for inclusion in Part II, if appropriate</w:t>
            </w:r>
          </w:p>
          <w:p w14:paraId="38F6565E" w14:textId="77777777" w:rsidR="00EA09B5" w:rsidRDefault="00042BBA"/>
          <w:p w14:paraId="32774A70" w14:textId="011D5548" w:rsidR="003631CE" w:rsidRDefault="00042BBA">
            <w:r>
              <w:t>N/A</w:t>
            </w:r>
          </w:p>
          <w:p w14:paraId="256F8A00" w14:textId="77777777" w:rsidR="00E75840" w:rsidRDefault="00042BBA" w:rsidP="003631CE"/>
        </w:tc>
      </w:tr>
    </w:tbl>
    <w:p w14:paraId="050877E4" w14:textId="77777777" w:rsidR="00E75840" w:rsidRDefault="00042BBA"/>
    <w:p w14:paraId="30EC290A" w14:textId="77777777" w:rsidR="00E75840" w:rsidRDefault="00042BBA"/>
    <w:sectPr w:rsidR="00E75840" w:rsidSect="004C1418">
      <w:headerReference w:type="default" r:id="rId8"/>
      <w:footerReference w:type="default" r:id="rId9"/>
      <w:footerReference w:type="first" r:id="rId10"/>
      <w:type w:val="continuous"/>
      <w:pgSz w:w="11907" w:h="16840" w:code="9"/>
      <w:pgMar w:top="1134" w:right="1440" w:bottom="1440" w:left="1440" w:header="720" w:footer="306" w:gutter="0"/>
      <w:paperSrc w:first="15" w:other="15"/>
      <w:pgNumType w:fmt="numberIn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D80EF" w14:textId="77777777" w:rsidR="001956F7" w:rsidRDefault="00270274">
      <w:r>
        <w:separator/>
      </w:r>
    </w:p>
  </w:endnote>
  <w:endnote w:type="continuationSeparator" w:id="0">
    <w:p w14:paraId="5DF7A03D" w14:textId="77777777" w:rsidR="001956F7" w:rsidRDefault="0027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075097" w14:paraId="1AC59ECC" w14:textId="77777777">
      <w:tc>
        <w:tcPr>
          <w:tcW w:w="9243" w:type="dxa"/>
          <w:tcBorders>
            <w:top w:val="nil"/>
            <w:left w:val="nil"/>
            <w:bottom w:val="nil"/>
            <w:right w:val="nil"/>
          </w:tcBorders>
        </w:tcPr>
        <w:p w14:paraId="7296B5B4" w14:textId="77777777" w:rsidR="002A6EE2" w:rsidRDefault="00042BBA">
          <w:pPr>
            <w:pStyle w:val="Footer"/>
            <w:tabs>
              <w:tab w:val="clear" w:pos="4153"/>
            </w:tabs>
            <w:ind w:right="-45"/>
            <w:jc w:val="right"/>
          </w:pPr>
        </w:p>
      </w:tc>
    </w:tr>
  </w:tbl>
  <w:p w14:paraId="2A69BADF" w14:textId="77777777" w:rsidR="002A6EE2" w:rsidRDefault="00042BBA">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7"/>
    </w:tblGrid>
    <w:tr w:rsidR="00075097" w14:paraId="4DBCAEE5" w14:textId="77777777" w:rsidTr="00912981">
      <w:tc>
        <w:tcPr>
          <w:tcW w:w="9243" w:type="dxa"/>
          <w:tcBorders>
            <w:top w:val="nil"/>
            <w:left w:val="nil"/>
            <w:bottom w:val="nil"/>
            <w:right w:val="nil"/>
          </w:tcBorders>
        </w:tcPr>
        <w:p w14:paraId="79806557" w14:textId="77777777" w:rsidR="002A6EE2" w:rsidRDefault="00270274" w:rsidP="00912981">
          <w:pPr>
            <w:pStyle w:val="Footer"/>
            <w:jc w:val="right"/>
          </w:pPr>
          <w:r>
            <w:rPr>
              <w:noProof/>
            </w:rPr>
            <w:drawing>
              <wp:inline distT="0" distB="0" distL="0" distR="0" wp14:anchorId="120C5707" wp14:editId="7E735C84">
                <wp:extent cx="1257300" cy="619125"/>
                <wp:effectExtent l="0" t="0" r="0" b="9525"/>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7300" cy="619125"/>
                        </a:xfrm>
                        <a:prstGeom prst="rect">
                          <a:avLst/>
                        </a:prstGeom>
                        <a:noFill/>
                        <a:ln>
                          <a:noFill/>
                        </a:ln>
                      </pic:spPr>
                    </pic:pic>
                  </a:graphicData>
                </a:graphic>
              </wp:inline>
            </w:drawing>
          </w:r>
        </w:p>
      </w:tc>
    </w:tr>
  </w:tbl>
  <w:p w14:paraId="5A8E5D6F" w14:textId="77777777" w:rsidR="002A6EE2" w:rsidRDefault="00042B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375E6" w14:textId="77777777" w:rsidR="001956F7" w:rsidRDefault="00270274">
      <w:r>
        <w:separator/>
      </w:r>
    </w:p>
  </w:footnote>
  <w:footnote w:type="continuationSeparator" w:id="0">
    <w:p w14:paraId="11B13D55" w14:textId="77777777" w:rsidR="001956F7" w:rsidRDefault="002702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4F1C8" w14:textId="77777777" w:rsidR="002A6EE2" w:rsidRDefault="00042BBA">
    <w:pPr>
      <w:pStyle w:val="Header"/>
      <w:jc w:val="center"/>
    </w:pPr>
  </w:p>
  <w:p w14:paraId="3A0C4CEA" w14:textId="77777777" w:rsidR="002A6EE2" w:rsidRDefault="00042B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01436"/>
    <w:multiLevelType w:val="hybridMultilevel"/>
    <w:tmpl w:val="1C3A571C"/>
    <w:lvl w:ilvl="0" w:tplc="B24C863E">
      <w:start w:val="1"/>
      <w:numFmt w:val="bullet"/>
      <w:lvlText w:val=""/>
      <w:lvlJc w:val="left"/>
      <w:pPr>
        <w:tabs>
          <w:tab w:val="num" w:pos="720"/>
        </w:tabs>
        <w:ind w:left="720" w:hanging="360"/>
      </w:pPr>
      <w:rPr>
        <w:rFonts w:ascii="Symbol" w:hAnsi="Symbol" w:hint="default"/>
      </w:rPr>
    </w:lvl>
    <w:lvl w:ilvl="1" w:tplc="6BD0A342" w:tentative="1">
      <w:start w:val="1"/>
      <w:numFmt w:val="bullet"/>
      <w:lvlText w:val="o"/>
      <w:lvlJc w:val="left"/>
      <w:pPr>
        <w:tabs>
          <w:tab w:val="num" w:pos="1440"/>
        </w:tabs>
        <w:ind w:left="1440" w:hanging="360"/>
      </w:pPr>
      <w:rPr>
        <w:rFonts w:ascii="Courier New" w:hAnsi="Courier New" w:cs="Wingdings" w:hint="default"/>
      </w:rPr>
    </w:lvl>
    <w:lvl w:ilvl="2" w:tplc="A9441428" w:tentative="1">
      <w:start w:val="1"/>
      <w:numFmt w:val="bullet"/>
      <w:lvlText w:val=""/>
      <w:lvlJc w:val="left"/>
      <w:pPr>
        <w:tabs>
          <w:tab w:val="num" w:pos="2160"/>
        </w:tabs>
        <w:ind w:left="2160" w:hanging="360"/>
      </w:pPr>
      <w:rPr>
        <w:rFonts w:ascii="Wingdings" w:hAnsi="Wingdings" w:hint="default"/>
      </w:rPr>
    </w:lvl>
    <w:lvl w:ilvl="3" w:tplc="9B28F820" w:tentative="1">
      <w:start w:val="1"/>
      <w:numFmt w:val="bullet"/>
      <w:lvlText w:val=""/>
      <w:lvlJc w:val="left"/>
      <w:pPr>
        <w:tabs>
          <w:tab w:val="num" w:pos="2880"/>
        </w:tabs>
        <w:ind w:left="2880" w:hanging="360"/>
      </w:pPr>
      <w:rPr>
        <w:rFonts w:ascii="Symbol" w:hAnsi="Symbol" w:hint="default"/>
      </w:rPr>
    </w:lvl>
    <w:lvl w:ilvl="4" w:tplc="6BBA5A78" w:tentative="1">
      <w:start w:val="1"/>
      <w:numFmt w:val="bullet"/>
      <w:lvlText w:val="o"/>
      <w:lvlJc w:val="left"/>
      <w:pPr>
        <w:tabs>
          <w:tab w:val="num" w:pos="3600"/>
        </w:tabs>
        <w:ind w:left="3600" w:hanging="360"/>
      </w:pPr>
      <w:rPr>
        <w:rFonts w:ascii="Courier New" w:hAnsi="Courier New" w:cs="Wingdings" w:hint="default"/>
      </w:rPr>
    </w:lvl>
    <w:lvl w:ilvl="5" w:tplc="459AB670" w:tentative="1">
      <w:start w:val="1"/>
      <w:numFmt w:val="bullet"/>
      <w:lvlText w:val=""/>
      <w:lvlJc w:val="left"/>
      <w:pPr>
        <w:tabs>
          <w:tab w:val="num" w:pos="4320"/>
        </w:tabs>
        <w:ind w:left="4320" w:hanging="360"/>
      </w:pPr>
      <w:rPr>
        <w:rFonts w:ascii="Wingdings" w:hAnsi="Wingdings" w:hint="default"/>
      </w:rPr>
    </w:lvl>
    <w:lvl w:ilvl="6" w:tplc="9086C634" w:tentative="1">
      <w:start w:val="1"/>
      <w:numFmt w:val="bullet"/>
      <w:lvlText w:val=""/>
      <w:lvlJc w:val="left"/>
      <w:pPr>
        <w:tabs>
          <w:tab w:val="num" w:pos="5040"/>
        </w:tabs>
        <w:ind w:left="5040" w:hanging="360"/>
      </w:pPr>
      <w:rPr>
        <w:rFonts w:ascii="Symbol" w:hAnsi="Symbol" w:hint="default"/>
      </w:rPr>
    </w:lvl>
    <w:lvl w:ilvl="7" w:tplc="6AFE0140" w:tentative="1">
      <w:start w:val="1"/>
      <w:numFmt w:val="bullet"/>
      <w:lvlText w:val="o"/>
      <w:lvlJc w:val="left"/>
      <w:pPr>
        <w:tabs>
          <w:tab w:val="num" w:pos="5760"/>
        </w:tabs>
        <w:ind w:left="5760" w:hanging="360"/>
      </w:pPr>
      <w:rPr>
        <w:rFonts w:ascii="Courier New" w:hAnsi="Courier New" w:cs="Wingdings" w:hint="default"/>
      </w:rPr>
    </w:lvl>
    <w:lvl w:ilvl="8" w:tplc="740E966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B24902"/>
    <w:multiLevelType w:val="hybridMultilevel"/>
    <w:tmpl w:val="11764630"/>
    <w:lvl w:ilvl="0" w:tplc="017A1FBE">
      <w:start w:val="1"/>
      <w:numFmt w:val="bullet"/>
      <w:lvlText w:val=""/>
      <w:lvlJc w:val="left"/>
      <w:pPr>
        <w:ind w:left="360" w:hanging="360"/>
      </w:pPr>
      <w:rPr>
        <w:rFonts w:ascii="Symbol" w:hAnsi="Symbol" w:hint="default"/>
      </w:rPr>
    </w:lvl>
    <w:lvl w:ilvl="1" w:tplc="27C8A2C4" w:tentative="1">
      <w:start w:val="1"/>
      <w:numFmt w:val="bullet"/>
      <w:lvlText w:val="o"/>
      <w:lvlJc w:val="left"/>
      <w:pPr>
        <w:ind w:left="1080" w:hanging="360"/>
      </w:pPr>
      <w:rPr>
        <w:rFonts w:ascii="Courier New" w:hAnsi="Courier New" w:cs="Courier New" w:hint="default"/>
      </w:rPr>
    </w:lvl>
    <w:lvl w:ilvl="2" w:tplc="D92282D6" w:tentative="1">
      <w:start w:val="1"/>
      <w:numFmt w:val="bullet"/>
      <w:lvlText w:val=""/>
      <w:lvlJc w:val="left"/>
      <w:pPr>
        <w:ind w:left="1800" w:hanging="360"/>
      </w:pPr>
      <w:rPr>
        <w:rFonts w:ascii="Wingdings" w:hAnsi="Wingdings" w:hint="default"/>
      </w:rPr>
    </w:lvl>
    <w:lvl w:ilvl="3" w:tplc="F0DCD604" w:tentative="1">
      <w:start w:val="1"/>
      <w:numFmt w:val="bullet"/>
      <w:lvlText w:val=""/>
      <w:lvlJc w:val="left"/>
      <w:pPr>
        <w:ind w:left="2520" w:hanging="360"/>
      </w:pPr>
      <w:rPr>
        <w:rFonts w:ascii="Symbol" w:hAnsi="Symbol" w:hint="default"/>
      </w:rPr>
    </w:lvl>
    <w:lvl w:ilvl="4" w:tplc="022C8C26" w:tentative="1">
      <w:start w:val="1"/>
      <w:numFmt w:val="bullet"/>
      <w:lvlText w:val="o"/>
      <w:lvlJc w:val="left"/>
      <w:pPr>
        <w:ind w:left="3240" w:hanging="360"/>
      </w:pPr>
      <w:rPr>
        <w:rFonts w:ascii="Courier New" w:hAnsi="Courier New" w:cs="Courier New" w:hint="default"/>
      </w:rPr>
    </w:lvl>
    <w:lvl w:ilvl="5" w:tplc="1780D012" w:tentative="1">
      <w:start w:val="1"/>
      <w:numFmt w:val="bullet"/>
      <w:lvlText w:val=""/>
      <w:lvlJc w:val="left"/>
      <w:pPr>
        <w:ind w:left="3960" w:hanging="360"/>
      </w:pPr>
      <w:rPr>
        <w:rFonts w:ascii="Wingdings" w:hAnsi="Wingdings" w:hint="default"/>
      </w:rPr>
    </w:lvl>
    <w:lvl w:ilvl="6" w:tplc="FFD2DB60" w:tentative="1">
      <w:start w:val="1"/>
      <w:numFmt w:val="bullet"/>
      <w:lvlText w:val=""/>
      <w:lvlJc w:val="left"/>
      <w:pPr>
        <w:ind w:left="4680" w:hanging="360"/>
      </w:pPr>
      <w:rPr>
        <w:rFonts w:ascii="Symbol" w:hAnsi="Symbol" w:hint="default"/>
      </w:rPr>
    </w:lvl>
    <w:lvl w:ilvl="7" w:tplc="9072F08C" w:tentative="1">
      <w:start w:val="1"/>
      <w:numFmt w:val="bullet"/>
      <w:lvlText w:val="o"/>
      <w:lvlJc w:val="left"/>
      <w:pPr>
        <w:ind w:left="5400" w:hanging="360"/>
      </w:pPr>
      <w:rPr>
        <w:rFonts w:ascii="Courier New" w:hAnsi="Courier New" w:cs="Courier New" w:hint="default"/>
      </w:rPr>
    </w:lvl>
    <w:lvl w:ilvl="8" w:tplc="BC520B26" w:tentative="1">
      <w:start w:val="1"/>
      <w:numFmt w:val="bullet"/>
      <w:lvlText w:val=""/>
      <w:lvlJc w:val="left"/>
      <w:pPr>
        <w:ind w:left="6120" w:hanging="360"/>
      </w:pPr>
      <w:rPr>
        <w:rFonts w:ascii="Wingdings" w:hAnsi="Wingdings" w:hint="default"/>
      </w:rPr>
    </w:lvl>
  </w:abstractNum>
  <w:abstractNum w:abstractNumId="2" w15:restartNumberingAfterBreak="0">
    <w:nsid w:val="3D483147"/>
    <w:multiLevelType w:val="hybridMultilevel"/>
    <w:tmpl w:val="66BA4806"/>
    <w:lvl w:ilvl="0" w:tplc="578E3F22">
      <w:start w:val="3"/>
      <w:numFmt w:val="bullet"/>
      <w:lvlText w:val="-"/>
      <w:lvlJc w:val="left"/>
      <w:pPr>
        <w:ind w:left="720" w:hanging="360"/>
      </w:pPr>
      <w:rPr>
        <w:rFonts w:ascii="Arial" w:hAnsi="Arial" w:hint="default"/>
        <w:i/>
      </w:rPr>
    </w:lvl>
    <w:lvl w:ilvl="1" w:tplc="67883DD6" w:tentative="1">
      <w:start w:val="1"/>
      <w:numFmt w:val="bullet"/>
      <w:lvlText w:val="o"/>
      <w:lvlJc w:val="left"/>
      <w:pPr>
        <w:ind w:left="1440" w:hanging="360"/>
      </w:pPr>
      <w:rPr>
        <w:rFonts w:ascii="Courier New" w:hAnsi="Courier New" w:cs="Courier New" w:hint="default"/>
      </w:rPr>
    </w:lvl>
    <w:lvl w:ilvl="2" w:tplc="9C143C08" w:tentative="1">
      <w:start w:val="1"/>
      <w:numFmt w:val="bullet"/>
      <w:lvlText w:val=""/>
      <w:lvlJc w:val="left"/>
      <w:pPr>
        <w:ind w:left="2160" w:hanging="360"/>
      </w:pPr>
      <w:rPr>
        <w:rFonts w:ascii="Wingdings" w:hAnsi="Wingdings" w:hint="default"/>
      </w:rPr>
    </w:lvl>
    <w:lvl w:ilvl="3" w:tplc="4B461400" w:tentative="1">
      <w:start w:val="1"/>
      <w:numFmt w:val="bullet"/>
      <w:lvlText w:val=""/>
      <w:lvlJc w:val="left"/>
      <w:pPr>
        <w:ind w:left="2880" w:hanging="360"/>
      </w:pPr>
      <w:rPr>
        <w:rFonts w:ascii="Symbol" w:hAnsi="Symbol" w:hint="default"/>
      </w:rPr>
    </w:lvl>
    <w:lvl w:ilvl="4" w:tplc="BF023DF4" w:tentative="1">
      <w:start w:val="1"/>
      <w:numFmt w:val="bullet"/>
      <w:lvlText w:val="o"/>
      <w:lvlJc w:val="left"/>
      <w:pPr>
        <w:ind w:left="3600" w:hanging="360"/>
      </w:pPr>
      <w:rPr>
        <w:rFonts w:ascii="Courier New" w:hAnsi="Courier New" w:cs="Courier New" w:hint="default"/>
      </w:rPr>
    </w:lvl>
    <w:lvl w:ilvl="5" w:tplc="4DD8EEE6" w:tentative="1">
      <w:start w:val="1"/>
      <w:numFmt w:val="bullet"/>
      <w:lvlText w:val=""/>
      <w:lvlJc w:val="left"/>
      <w:pPr>
        <w:ind w:left="4320" w:hanging="360"/>
      </w:pPr>
      <w:rPr>
        <w:rFonts w:ascii="Wingdings" w:hAnsi="Wingdings" w:hint="default"/>
      </w:rPr>
    </w:lvl>
    <w:lvl w:ilvl="6" w:tplc="91B8E432" w:tentative="1">
      <w:start w:val="1"/>
      <w:numFmt w:val="bullet"/>
      <w:lvlText w:val=""/>
      <w:lvlJc w:val="left"/>
      <w:pPr>
        <w:ind w:left="5040" w:hanging="360"/>
      </w:pPr>
      <w:rPr>
        <w:rFonts w:ascii="Symbol" w:hAnsi="Symbol" w:hint="default"/>
      </w:rPr>
    </w:lvl>
    <w:lvl w:ilvl="7" w:tplc="0994F25A" w:tentative="1">
      <w:start w:val="1"/>
      <w:numFmt w:val="bullet"/>
      <w:lvlText w:val="o"/>
      <w:lvlJc w:val="left"/>
      <w:pPr>
        <w:ind w:left="5760" w:hanging="360"/>
      </w:pPr>
      <w:rPr>
        <w:rFonts w:ascii="Courier New" w:hAnsi="Courier New" w:cs="Courier New" w:hint="default"/>
      </w:rPr>
    </w:lvl>
    <w:lvl w:ilvl="8" w:tplc="0908D1C2" w:tentative="1">
      <w:start w:val="1"/>
      <w:numFmt w:val="bullet"/>
      <w:lvlText w:val=""/>
      <w:lvlJc w:val="left"/>
      <w:pPr>
        <w:ind w:left="6480" w:hanging="360"/>
      </w:pPr>
      <w:rPr>
        <w:rFonts w:ascii="Wingdings" w:hAnsi="Wingdings" w:hint="default"/>
      </w:rPr>
    </w:lvl>
  </w:abstractNum>
  <w:abstractNum w:abstractNumId="3" w15:restartNumberingAfterBreak="0">
    <w:nsid w:val="5615287D"/>
    <w:multiLevelType w:val="hybridMultilevel"/>
    <w:tmpl w:val="DAE621AE"/>
    <w:lvl w:ilvl="0" w:tplc="959E4D7C">
      <w:start w:val="3"/>
      <w:numFmt w:val="bullet"/>
      <w:lvlText w:val="-"/>
      <w:lvlJc w:val="left"/>
      <w:pPr>
        <w:ind w:left="360" w:hanging="360"/>
      </w:pPr>
      <w:rPr>
        <w:rFonts w:ascii="Arial" w:hAnsi="Arial" w:hint="default"/>
        <w:i/>
      </w:rPr>
    </w:lvl>
    <w:lvl w:ilvl="1" w:tplc="E3A0264E" w:tentative="1">
      <w:start w:val="1"/>
      <w:numFmt w:val="bullet"/>
      <w:lvlText w:val="o"/>
      <w:lvlJc w:val="left"/>
      <w:pPr>
        <w:ind w:left="1080" w:hanging="360"/>
      </w:pPr>
      <w:rPr>
        <w:rFonts w:ascii="Courier New" w:hAnsi="Courier New" w:cs="Courier New" w:hint="default"/>
      </w:rPr>
    </w:lvl>
    <w:lvl w:ilvl="2" w:tplc="CED20918" w:tentative="1">
      <w:start w:val="1"/>
      <w:numFmt w:val="bullet"/>
      <w:lvlText w:val=""/>
      <w:lvlJc w:val="left"/>
      <w:pPr>
        <w:ind w:left="1800" w:hanging="360"/>
      </w:pPr>
      <w:rPr>
        <w:rFonts w:ascii="Wingdings" w:hAnsi="Wingdings" w:hint="default"/>
      </w:rPr>
    </w:lvl>
    <w:lvl w:ilvl="3" w:tplc="22822A16" w:tentative="1">
      <w:start w:val="1"/>
      <w:numFmt w:val="bullet"/>
      <w:lvlText w:val=""/>
      <w:lvlJc w:val="left"/>
      <w:pPr>
        <w:ind w:left="2520" w:hanging="360"/>
      </w:pPr>
      <w:rPr>
        <w:rFonts w:ascii="Symbol" w:hAnsi="Symbol" w:hint="default"/>
      </w:rPr>
    </w:lvl>
    <w:lvl w:ilvl="4" w:tplc="14A0823C" w:tentative="1">
      <w:start w:val="1"/>
      <w:numFmt w:val="bullet"/>
      <w:lvlText w:val="o"/>
      <w:lvlJc w:val="left"/>
      <w:pPr>
        <w:ind w:left="3240" w:hanging="360"/>
      </w:pPr>
      <w:rPr>
        <w:rFonts w:ascii="Courier New" w:hAnsi="Courier New" w:cs="Courier New" w:hint="default"/>
      </w:rPr>
    </w:lvl>
    <w:lvl w:ilvl="5" w:tplc="E00A98F4" w:tentative="1">
      <w:start w:val="1"/>
      <w:numFmt w:val="bullet"/>
      <w:lvlText w:val=""/>
      <w:lvlJc w:val="left"/>
      <w:pPr>
        <w:ind w:left="3960" w:hanging="360"/>
      </w:pPr>
      <w:rPr>
        <w:rFonts w:ascii="Wingdings" w:hAnsi="Wingdings" w:hint="default"/>
      </w:rPr>
    </w:lvl>
    <w:lvl w:ilvl="6" w:tplc="67CC5E00" w:tentative="1">
      <w:start w:val="1"/>
      <w:numFmt w:val="bullet"/>
      <w:lvlText w:val=""/>
      <w:lvlJc w:val="left"/>
      <w:pPr>
        <w:ind w:left="4680" w:hanging="360"/>
      </w:pPr>
      <w:rPr>
        <w:rFonts w:ascii="Symbol" w:hAnsi="Symbol" w:hint="default"/>
      </w:rPr>
    </w:lvl>
    <w:lvl w:ilvl="7" w:tplc="B77C8BA2" w:tentative="1">
      <w:start w:val="1"/>
      <w:numFmt w:val="bullet"/>
      <w:lvlText w:val="o"/>
      <w:lvlJc w:val="left"/>
      <w:pPr>
        <w:ind w:left="5400" w:hanging="360"/>
      </w:pPr>
      <w:rPr>
        <w:rFonts w:ascii="Courier New" w:hAnsi="Courier New" w:cs="Courier New" w:hint="default"/>
      </w:rPr>
    </w:lvl>
    <w:lvl w:ilvl="8" w:tplc="3BD2477C" w:tentative="1">
      <w:start w:val="1"/>
      <w:numFmt w:val="bullet"/>
      <w:lvlText w:val=""/>
      <w:lvlJc w:val="left"/>
      <w:pPr>
        <w:ind w:left="6120" w:hanging="360"/>
      </w:pPr>
      <w:rPr>
        <w:rFonts w:ascii="Wingdings" w:hAnsi="Wingdings" w:hint="default"/>
      </w:rPr>
    </w:lvl>
  </w:abstractNum>
  <w:abstractNum w:abstractNumId="4" w15:restartNumberingAfterBreak="0">
    <w:nsid w:val="5DE55E63"/>
    <w:multiLevelType w:val="hybridMultilevel"/>
    <w:tmpl w:val="ADECAC4A"/>
    <w:lvl w:ilvl="0" w:tplc="81063AA6">
      <w:start w:val="1"/>
      <w:numFmt w:val="bullet"/>
      <w:lvlText w:val=""/>
      <w:lvlJc w:val="left"/>
      <w:pPr>
        <w:ind w:left="720" w:hanging="360"/>
      </w:pPr>
      <w:rPr>
        <w:rFonts w:ascii="Symbol" w:hAnsi="Symbol" w:hint="default"/>
      </w:rPr>
    </w:lvl>
    <w:lvl w:ilvl="1" w:tplc="6994F1E0" w:tentative="1">
      <w:start w:val="1"/>
      <w:numFmt w:val="bullet"/>
      <w:lvlText w:val="o"/>
      <w:lvlJc w:val="left"/>
      <w:pPr>
        <w:ind w:left="1440" w:hanging="360"/>
      </w:pPr>
      <w:rPr>
        <w:rFonts w:ascii="Courier New" w:hAnsi="Courier New" w:cs="Courier New" w:hint="default"/>
      </w:rPr>
    </w:lvl>
    <w:lvl w:ilvl="2" w:tplc="DA8CA59C" w:tentative="1">
      <w:start w:val="1"/>
      <w:numFmt w:val="bullet"/>
      <w:lvlText w:val=""/>
      <w:lvlJc w:val="left"/>
      <w:pPr>
        <w:ind w:left="2160" w:hanging="360"/>
      </w:pPr>
      <w:rPr>
        <w:rFonts w:ascii="Wingdings" w:hAnsi="Wingdings" w:hint="default"/>
      </w:rPr>
    </w:lvl>
    <w:lvl w:ilvl="3" w:tplc="C5C4ACBE" w:tentative="1">
      <w:start w:val="1"/>
      <w:numFmt w:val="bullet"/>
      <w:lvlText w:val=""/>
      <w:lvlJc w:val="left"/>
      <w:pPr>
        <w:ind w:left="2880" w:hanging="360"/>
      </w:pPr>
      <w:rPr>
        <w:rFonts w:ascii="Symbol" w:hAnsi="Symbol" w:hint="default"/>
      </w:rPr>
    </w:lvl>
    <w:lvl w:ilvl="4" w:tplc="900E1552" w:tentative="1">
      <w:start w:val="1"/>
      <w:numFmt w:val="bullet"/>
      <w:lvlText w:val="o"/>
      <w:lvlJc w:val="left"/>
      <w:pPr>
        <w:ind w:left="3600" w:hanging="360"/>
      </w:pPr>
      <w:rPr>
        <w:rFonts w:ascii="Courier New" w:hAnsi="Courier New" w:cs="Courier New" w:hint="default"/>
      </w:rPr>
    </w:lvl>
    <w:lvl w:ilvl="5" w:tplc="731EBE32" w:tentative="1">
      <w:start w:val="1"/>
      <w:numFmt w:val="bullet"/>
      <w:lvlText w:val=""/>
      <w:lvlJc w:val="left"/>
      <w:pPr>
        <w:ind w:left="4320" w:hanging="360"/>
      </w:pPr>
      <w:rPr>
        <w:rFonts w:ascii="Wingdings" w:hAnsi="Wingdings" w:hint="default"/>
      </w:rPr>
    </w:lvl>
    <w:lvl w:ilvl="6" w:tplc="08C0EC96" w:tentative="1">
      <w:start w:val="1"/>
      <w:numFmt w:val="bullet"/>
      <w:lvlText w:val=""/>
      <w:lvlJc w:val="left"/>
      <w:pPr>
        <w:ind w:left="5040" w:hanging="360"/>
      </w:pPr>
      <w:rPr>
        <w:rFonts w:ascii="Symbol" w:hAnsi="Symbol" w:hint="default"/>
      </w:rPr>
    </w:lvl>
    <w:lvl w:ilvl="7" w:tplc="F802F606" w:tentative="1">
      <w:start w:val="1"/>
      <w:numFmt w:val="bullet"/>
      <w:lvlText w:val="o"/>
      <w:lvlJc w:val="left"/>
      <w:pPr>
        <w:ind w:left="5760" w:hanging="360"/>
      </w:pPr>
      <w:rPr>
        <w:rFonts w:ascii="Courier New" w:hAnsi="Courier New" w:cs="Courier New" w:hint="default"/>
      </w:rPr>
    </w:lvl>
    <w:lvl w:ilvl="8" w:tplc="FACAA7EC" w:tentative="1">
      <w:start w:val="1"/>
      <w:numFmt w:val="bullet"/>
      <w:lvlText w:val=""/>
      <w:lvlJc w:val="left"/>
      <w:pPr>
        <w:ind w:left="6480" w:hanging="360"/>
      </w:pPr>
      <w:rPr>
        <w:rFonts w:ascii="Wingdings" w:hAnsi="Wingdings" w:hint="default"/>
      </w:rPr>
    </w:lvl>
  </w:abstractNum>
  <w:abstractNum w:abstractNumId="5" w15:restartNumberingAfterBreak="0">
    <w:nsid w:val="6C7103CB"/>
    <w:multiLevelType w:val="hybridMultilevel"/>
    <w:tmpl w:val="8B162FAA"/>
    <w:lvl w:ilvl="0" w:tplc="A7B686D8">
      <w:numFmt w:val="bullet"/>
      <w:lvlText w:val="-"/>
      <w:lvlJc w:val="left"/>
      <w:pPr>
        <w:ind w:left="1080" w:hanging="720"/>
      </w:pPr>
      <w:rPr>
        <w:rFonts w:ascii="Arial" w:eastAsia="Times New Roman" w:hAnsi="Arial" w:cs="Arial" w:hint="default"/>
      </w:rPr>
    </w:lvl>
    <w:lvl w:ilvl="1" w:tplc="861A05D8" w:tentative="1">
      <w:start w:val="1"/>
      <w:numFmt w:val="bullet"/>
      <w:lvlText w:val="o"/>
      <w:lvlJc w:val="left"/>
      <w:pPr>
        <w:ind w:left="1440" w:hanging="360"/>
      </w:pPr>
      <w:rPr>
        <w:rFonts w:ascii="Courier New" w:hAnsi="Courier New" w:cs="Courier New" w:hint="default"/>
      </w:rPr>
    </w:lvl>
    <w:lvl w:ilvl="2" w:tplc="9F54C5D4" w:tentative="1">
      <w:start w:val="1"/>
      <w:numFmt w:val="bullet"/>
      <w:lvlText w:val=""/>
      <w:lvlJc w:val="left"/>
      <w:pPr>
        <w:ind w:left="2160" w:hanging="360"/>
      </w:pPr>
      <w:rPr>
        <w:rFonts w:ascii="Wingdings" w:hAnsi="Wingdings" w:hint="default"/>
      </w:rPr>
    </w:lvl>
    <w:lvl w:ilvl="3" w:tplc="CE169E12" w:tentative="1">
      <w:start w:val="1"/>
      <w:numFmt w:val="bullet"/>
      <w:lvlText w:val=""/>
      <w:lvlJc w:val="left"/>
      <w:pPr>
        <w:ind w:left="2880" w:hanging="360"/>
      </w:pPr>
      <w:rPr>
        <w:rFonts w:ascii="Symbol" w:hAnsi="Symbol" w:hint="default"/>
      </w:rPr>
    </w:lvl>
    <w:lvl w:ilvl="4" w:tplc="908EFEC8" w:tentative="1">
      <w:start w:val="1"/>
      <w:numFmt w:val="bullet"/>
      <w:lvlText w:val="o"/>
      <w:lvlJc w:val="left"/>
      <w:pPr>
        <w:ind w:left="3600" w:hanging="360"/>
      </w:pPr>
      <w:rPr>
        <w:rFonts w:ascii="Courier New" w:hAnsi="Courier New" w:cs="Courier New" w:hint="default"/>
      </w:rPr>
    </w:lvl>
    <w:lvl w:ilvl="5" w:tplc="CDD04A46" w:tentative="1">
      <w:start w:val="1"/>
      <w:numFmt w:val="bullet"/>
      <w:lvlText w:val=""/>
      <w:lvlJc w:val="left"/>
      <w:pPr>
        <w:ind w:left="4320" w:hanging="360"/>
      </w:pPr>
      <w:rPr>
        <w:rFonts w:ascii="Wingdings" w:hAnsi="Wingdings" w:hint="default"/>
      </w:rPr>
    </w:lvl>
    <w:lvl w:ilvl="6" w:tplc="EA74178C" w:tentative="1">
      <w:start w:val="1"/>
      <w:numFmt w:val="bullet"/>
      <w:lvlText w:val=""/>
      <w:lvlJc w:val="left"/>
      <w:pPr>
        <w:ind w:left="5040" w:hanging="360"/>
      </w:pPr>
      <w:rPr>
        <w:rFonts w:ascii="Symbol" w:hAnsi="Symbol" w:hint="default"/>
      </w:rPr>
    </w:lvl>
    <w:lvl w:ilvl="7" w:tplc="A6CEB136" w:tentative="1">
      <w:start w:val="1"/>
      <w:numFmt w:val="bullet"/>
      <w:lvlText w:val="o"/>
      <w:lvlJc w:val="left"/>
      <w:pPr>
        <w:ind w:left="5760" w:hanging="360"/>
      </w:pPr>
      <w:rPr>
        <w:rFonts w:ascii="Courier New" w:hAnsi="Courier New" w:cs="Courier New" w:hint="default"/>
      </w:rPr>
    </w:lvl>
    <w:lvl w:ilvl="8" w:tplc="EDBA9808" w:tentative="1">
      <w:start w:val="1"/>
      <w:numFmt w:val="bullet"/>
      <w:lvlText w:val=""/>
      <w:lvlJc w:val="left"/>
      <w:pPr>
        <w:ind w:left="6480" w:hanging="360"/>
      </w:pPr>
      <w:rPr>
        <w:rFonts w:ascii="Wingdings" w:hAnsi="Wingdings" w:hint="default"/>
      </w:rPr>
    </w:lvl>
  </w:abstractNum>
  <w:abstractNum w:abstractNumId="6" w15:restartNumberingAfterBreak="0">
    <w:nsid w:val="710C1973"/>
    <w:multiLevelType w:val="hybridMultilevel"/>
    <w:tmpl w:val="167E2DD0"/>
    <w:lvl w:ilvl="0" w:tplc="1B3AEBC2">
      <w:start w:val="1"/>
      <w:numFmt w:val="bullet"/>
      <w:lvlText w:val=""/>
      <w:lvlJc w:val="left"/>
      <w:pPr>
        <w:ind w:left="720" w:hanging="360"/>
      </w:pPr>
      <w:rPr>
        <w:rFonts w:ascii="Symbol" w:hAnsi="Symbol" w:hint="default"/>
      </w:rPr>
    </w:lvl>
    <w:lvl w:ilvl="1" w:tplc="32B6F364" w:tentative="1">
      <w:start w:val="1"/>
      <w:numFmt w:val="bullet"/>
      <w:lvlText w:val="o"/>
      <w:lvlJc w:val="left"/>
      <w:pPr>
        <w:ind w:left="1440" w:hanging="360"/>
      </w:pPr>
      <w:rPr>
        <w:rFonts w:ascii="Courier New" w:hAnsi="Courier New" w:cs="Courier New" w:hint="default"/>
      </w:rPr>
    </w:lvl>
    <w:lvl w:ilvl="2" w:tplc="096263B0" w:tentative="1">
      <w:start w:val="1"/>
      <w:numFmt w:val="bullet"/>
      <w:lvlText w:val=""/>
      <w:lvlJc w:val="left"/>
      <w:pPr>
        <w:ind w:left="2160" w:hanging="360"/>
      </w:pPr>
      <w:rPr>
        <w:rFonts w:ascii="Wingdings" w:hAnsi="Wingdings" w:hint="default"/>
      </w:rPr>
    </w:lvl>
    <w:lvl w:ilvl="3" w:tplc="B4A46BFA" w:tentative="1">
      <w:start w:val="1"/>
      <w:numFmt w:val="bullet"/>
      <w:lvlText w:val=""/>
      <w:lvlJc w:val="left"/>
      <w:pPr>
        <w:ind w:left="2880" w:hanging="360"/>
      </w:pPr>
      <w:rPr>
        <w:rFonts w:ascii="Symbol" w:hAnsi="Symbol" w:hint="default"/>
      </w:rPr>
    </w:lvl>
    <w:lvl w:ilvl="4" w:tplc="ED0C9588" w:tentative="1">
      <w:start w:val="1"/>
      <w:numFmt w:val="bullet"/>
      <w:lvlText w:val="o"/>
      <w:lvlJc w:val="left"/>
      <w:pPr>
        <w:ind w:left="3600" w:hanging="360"/>
      </w:pPr>
      <w:rPr>
        <w:rFonts w:ascii="Courier New" w:hAnsi="Courier New" w:cs="Courier New" w:hint="default"/>
      </w:rPr>
    </w:lvl>
    <w:lvl w:ilvl="5" w:tplc="121C38E6" w:tentative="1">
      <w:start w:val="1"/>
      <w:numFmt w:val="bullet"/>
      <w:lvlText w:val=""/>
      <w:lvlJc w:val="left"/>
      <w:pPr>
        <w:ind w:left="4320" w:hanging="360"/>
      </w:pPr>
      <w:rPr>
        <w:rFonts w:ascii="Wingdings" w:hAnsi="Wingdings" w:hint="default"/>
      </w:rPr>
    </w:lvl>
    <w:lvl w:ilvl="6" w:tplc="58CC02F2" w:tentative="1">
      <w:start w:val="1"/>
      <w:numFmt w:val="bullet"/>
      <w:lvlText w:val=""/>
      <w:lvlJc w:val="left"/>
      <w:pPr>
        <w:ind w:left="5040" w:hanging="360"/>
      </w:pPr>
      <w:rPr>
        <w:rFonts w:ascii="Symbol" w:hAnsi="Symbol" w:hint="default"/>
      </w:rPr>
    </w:lvl>
    <w:lvl w:ilvl="7" w:tplc="4C860BF4" w:tentative="1">
      <w:start w:val="1"/>
      <w:numFmt w:val="bullet"/>
      <w:lvlText w:val="o"/>
      <w:lvlJc w:val="left"/>
      <w:pPr>
        <w:ind w:left="5760" w:hanging="360"/>
      </w:pPr>
      <w:rPr>
        <w:rFonts w:ascii="Courier New" w:hAnsi="Courier New" w:cs="Courier New" w:hint="default"/>
      </w:rPr>
    </w:lvl>
    <w:lvl w:ilvl="8" w:tplc="DF00A6B6"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97"/>
    <w:rsid w:val="00042BBA"/>
    <w:rsid w:val="00075097"/>
    <w:rsid w:val="001956F7"/>
    <w:rsid w:val="00270274"/>
    <w:rsid w:val="00345264"/>
    <w:rsid w:val="00432864"/>
    <w:rsid w:val="00BB1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D4FAC3"/>
  <w15:docId w15:val="{4ECC03E0-4F90-4FA6-AFB4-FB79AAF6F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ascii="Univers" w:hAnsi="Univers"/>
      <w:b/>
      <w:kern w:val="28"/>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tyle>
  <w:style w:type="paragraph" w:styleId="BodyText2">
    <w:name w:val="Body Text 2"/>
    <w:basedOn w:val="Normal"/>
    <w:rPr>
      <w:rFonts w:ascii="Univers" w:hAnsi="Univers"/>
      <w:b/>
      <w:u w:val="single"/>
    </w:rPr>
  </w:style>
  <w:style w:type="paragraph" w:styleId="BodyTextIndent">
    <w:name w:val="Body Text Indent"/>
    <w:basedOn w:val="Normal"/>
    <w:pPr>
      <w:ind w:left="720" w:firstLine="720"/>
    </w:pPr>
    <w:rPr>
      <w:rFonts w:ascii="Times New Roman" w:hAnsi="Times New Roman"/>
    </w:rPr>
  </w:style>
  <w:style w:type="paragraph" w:styleId="BodyText">
    <w:name w:val="Body Text"/>
    <w:basedOn w:val="Normal"/>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BF7B57"/>
    <w:rPr>
      <w:rFonts w:ascii="Tahoma" w:hAnsi="Tahoma" w:cs="Tahoma"/>
      <w:sz w:val="16"/>
      <w:szCs w:val="16"/>
    </w:rPr>
  </w:style>
  <w:style w:type="character" w:styleId="CommentReference">
    <w:name w:val="annotation reference"/>
    <w:semiHidden/>
    <w:rsid w:val="0058092A"/>
    <w:rPr>
      <w:sz w:val="16"/>
      <w:szCs w:val="16"/>
    </w:rPr>
  </w:style>
  <w:style w:type="paragraph" w:styleId="CommentText">
    <w:name w:val="annotation text"/>
    <w:basedOn w:val="Normal"/>
    <w:semiHidden/>
    <w:rsid w:val="0058092A"/>
    <w:rPr>
      <w:sz w:val="20"/>
    </w:rPr>
  </w:style>
  <w:style w:type="paragraph" w:styleId="CommentSubject">
    <w:name w:val="annotation subject"/>
    <w:basedOn w:val="CommentText"/>
    <w:next w:val="CommentText"/>
    <w:semiHidden/>
    <w:rsid w:val="0058092A"/>
    <w:rPr>
      <w:b/>
      <w:bCs/>
    </w:rPr>
  </w:style>
  <w:style w:type="table" w:styleId="TableGrid">
    <w:name w:val="Table Grid"/>
    <w:basedOn w:val="TableNormal"/>
    <w:rsid w:val="00AC2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4C1418"/>
    <w:rPr>
      <w:rFonts w:ascii="Arial" w:hAnsi="Arial"/>
      <w:sz w:val="24"/>
    </w:rPr>
  </w:style>
  <w:style w:type="character" w:styleId="Hyperlink">
    <w:name w:val="Hyperlink"/>
    <w:rsid w:val="00AF1378"/>
    <w:rPr>
      <w:color w:val="0563C1"/>
      <w:u w:val="single"/>
    </w:rPr>
  </w:style>
  <w:style w:type="paragraph" w:styleId="ListParagraph">
    <w:name w:val="List Paragraph"/>
    <w:basedOn w:val="Normal"/>
    <w:uiPriority w:val="34"/>
    <w:qFormat/>
    <w:rsid w:val="00126D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rbara.bath@lancashir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4%20-%20Report%20to%20Individual%20Cabinet%20Member%20-%20for%20Dec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Annex 4 - Report to Individual Cabinet Member - for Decision.dot</Template>
  <TotalTime>127</TotalTime>
  <Pages>5</Pages>
  <Words>1442</Words>
  <Characters>8081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Report to the insert Leader, Deputy Leader or Cabinet Member for (title) - as appropriate</vt:lpstr>
    </vt:vector>
  </TitlesOfParts>
  <Company/>
  <LinksUpToDate>false</LinksUpToDate>
  <CharactersWithSpaces>9504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insert Leader, Deputy Leader or Cabinet Member for (title) - as appropriate</dc:title>
  <dc:creator>rdmcm</dc:creator>
  <dc:description>Nov 2012</dc:description>
  <cp:lastModifiedBy>Mynott, Josh</cp:lastModifiedBy>
  <cp:revision>7</cp:revision>
  <cp:lastPrinted>2017-05-31T15:38:00Z</cp:lastPrinted>
  <dcterms:created xsi:type="dcterms:W3CDTF">2017-05-31T15:19:00Z</dcterms:created>
  <dcterms:modified xsi:type="dcterms:W3CDTF">2017-06-05T13:41:00Z</dcterms:modified>
</cp:coreProperties>
</file>